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86129" w14:textId="77777777" w:rsidR="005304FF" w:rsidRDefault="005304FF" w:rsidP="005304FF">
      <w:r>
        <w:t>The changes, as applicable, to the informed consent regulations are effective for all research that is approved on and after 21 January 2019.  Research organizations, institutions, IRBs, and investigators will have to revise forms, documents, and practices to comply with revisions.</w:t>
      </w:r>
    </w:p>
    <w:p w14:paraId="2701A49D" w14:textId="77777777" w:rsidR="000920FD" w:rsidRDefault="000920FD" w:rsidP="005304FF">
      <w:pPr>
        <w:rPr>
          <w:b/>
          <w:i/>
          <w:sz w:val="28"/>
          <w:szCs w:val="28"/>
        </w:rPr>
      </w:pPr>
      <w:r>
        <w:rPr>
          <w:b/>
          <w:i/>
          <w:sz w:val="28"/>
          <w:szCs w:val="28"/>
        </w:rPr>
        <w:t>Key Revisions</w:t>
      </w:r>
    </w:p>
    <w:p w14:paraId="47882734" w14:textId="693EB9DA" w:rsidR="00930FAC" w:rsidRDefault="000920FD" w:rsidP="000920FD">
      <w:pPr>
        <w:pStyle w:val="ListParagraph"/>
        <w:numPr>
          <w:ilvl w:val="0"/>
          <w:numId w:val="32"/>
        </w:numPr>
      </w:pPr>
      <w:r>
        <w:rPr>
          <w:b/>
        </w:rPr>
        <w:t>New process requirements</w:t>
      </w:r>
      <w:r>
        <w:t xml:space="preserve"> for the content, organization, and presentation of information and the process to facilitate a prospective subject’s decision about whether to participate in research.</w:t>
      </w:r>
    </w:p>
    <w:p w14:paraId="452401E6" w14:textId="77777777" w:rsidR="008B3125" w:rsidRDefault="008B3125" w:rsidP="000920FD">
      <w:pPr>
        <w:pStyle w:val="ListParagraph"/>
        <w:numPr>
          <w:ilvl w:val="0"/>
          <w:numId w:val="32"/>
        </w:numPr>
      </w:pPr>
      <w:r>
        <w:rPr>
          <w:b/>
        </w:rPr>
        <w:t>New requirements</w:t>
      </w:r>
      <w:r>
        <w:t xml:space="preserve"> for the basic and additional elements of consent.</w:t>
      </w:r>
    </w:p>
    <w:p w14:paraId="6D875CC5" w14:textId="77777777" w:rsidR="008B3125" w:rsidRDefault="008B3125" w:rsidP="000920FD">
      <w:pPr>
        <w:pStyle w:val="ListParagraph"/>
        <w:numPr>
          <w:ilvl w:val="0"/>
          <w:numId w:val="32"/>
        </w:numPr>
      </w:pPr>
      <w:r>
        <w:rPr>
          <w:b/>
        </w:rPr>
        <w:t xml:space="preserve">Electronic consent is allowed, </w:t>
      </w:r>
      <w:r>
        <w:t>but must provide written copy.</w:t>
      </w:r>
    </w:p>
    <w:p w14:paraId="61D71682" w14:textId="77777777" w:rsidR="008B3125" w:rsidRDefault="008B3125" w:rsidP="000920FD">
      <w:pPr>
        <w:pStyle w:val="ListParagraph"/>
        <w:numPr>
          <w:ilvl w:val="0"/>
          <w:numId w:val="32"/>
        </w:numPr>
      </w:pPr>
      <w:r>
        <w:rPr>
          <w:b/>
        </w:rPr>
        <w:t xml:space="preserve">New broad consent </w:t>
      </w:r>
      <w:r>
        <w:t>elements for storage, maintenance, or secondary research use of identifiable private information and identifiable bio specimens.</w:t>
      </w:r>
    </w:p>
    <w:p w14:paraId="01A8024F" w14:textId="054A50B8" w:rsidR="008B3125" w:rsidRDefault="008B3125" w:rsidP="000920FD">
      <w:pPr>
        <w:pStyle w:val="ListParagraph"/>
        <w:numPr>
          <w:ilvl w:val="0"/>
          <w:numId w:val="32"/>
        </w:numPr>
      </w:pPr>
      <w:r>
        <w:rPr>
          <w:b/>
        </w:rPr>
        <w:t xml:space="preserve">Changes in the waiver and alteration criteria </w:t>
      </w:r>
      <w:r>
        <w:t>for consent.</w:t>
      </w:r>
    </w:p>
    <w:p w14:paraId="266CDEAD" w14:textId="09204800" w:rsidR="000920FD" w:rsidRDefault="008B3125" w:rsidP="000920FD">
      <w:pPr>
        <w:pStyle w:val="ListParagraph"/>
        <w:numPr>
          <w:ilvl w:val="0"/>
          <w:numId w:val="32"/>
        </w:numPr>
      </w:pPr>
      <w:r>
        <w:rPr>
          <w:b/>
        </w:rPr>
        <w:t xml:space="preserve"> New consent provision </w:t>
      </w:r>
      <w:r>
        <w:t>that allows IRBs to approve a research proposal for which investigators obtain information or bio specimens without individual’s informed consent for the purpose of screening, recruiting, or determining the eligibility of prospective human subjects, provided certain conditions are met.</w:t>
      </w:r>
    </w:p>
    <w:p w14:paraId="3676DE19" w14:textId="3802E500" w:rsidR="008B3125" w:rsidRDefault="008B3125" w:rsidP="000920FD">
      <w:pPr>
        <w:pStyle w:val="ListParagraph"/>
        <w:numPr>
          <w:ilvl w:val="0"/>
          <w:numId w:val="32"/>
        </w:numPr>
      </w:pPr>
      <w:r>
        <w:rPr>
          <w:b/>
        </w:rPr>
        <w:t xml:space="preserve">New requirement to post, </w:t>
      </w:r>
      <w:r>
        <w:t>to a federal website, a copy of an IRB-approved version of the consent form that was used for enrollment purposes for each clinical trial conducted or supported by a federal department or agency.</w:t>
      </w:r>
    </w:p>
    <w:tbl>
      <w:tblPr>
        <w:tblStyle w:val="TableGrid"/>
        <w:tblW w:w="9625" w:type="dxa"/>
        <w:tblLook w:val="04A0" w:firstRow="1" w:lastRow="0" w:firstColumn="1" w:lastColumn="0" w:noHBand="0" w:noVBand="1"/>
      </w:tblPr>
      <w:tblGrid>
        <w:gridCol w:w="1698"/>
        <w:gridCol w:w="1671"/>
        <w:gridCol w:w="3286"/>
        <w:gridCol w:w="2970"/>
      </w:tblGrid>
      <w:tr w:rsidR="009D5545" w14:paraId="7DA81B6A" w14:textId="77777777" w:rsidTr="009D5545">
        <w:trPr>
          <w:trHeight w:val="467"/>
        </w:trPr>
        <w:tc>
          <w:tcPr>
            <w:tcW w:w="1698" w:type="dxa"/>
            <w:shd w:val="clear" w:color="auto" w:fill="A50021"/>
          </w:tcPr>
          <w:p w14:paraId="4AC5BCB5" w14:textId="55D15481" w:rsidR="009D5545" w:rsidRPr="009D5545" w:rsidRDefault="001C7DCB" w:rsidP="004D71A8">
            <w:pPr>
              <w:jc w:val="center"/>
              <w:rPr>
                <w:b/>
                <w:sz w:val="24"/>
                <w:szCs w:val="24"/>
              </w:rPr>
            </w:pPr>
            <w:r>
              <w:rPr>
                <w:b/>
                <w:sz w:val="24"/>
                <w:szCs w:val="24"/>
              </w:rPr>
              <w:t>Citation</w:t>
            </w:r>
          </w:p>
        </w:tc>
        <w:tc>
          <w:tcPr>
            <w:tcW w:w="1671" w:type="dxa"/>
            <w:shd w:val="clear" w:color="auto" w:fill="A50021"/>
          </w:tcPr>
          <w:p w14:paraId="1EE54BD0" w14:textId="7CC1282F" w:rsidR="009D5545" w:rsidRPr="009D5545" w:rsidRDefault="001C7DCB" w:rsidP="004D71A8">
            <w:pPr>
              <w:jc w:val="center"/>
              <w:rPr>
                <w:b/>
                <w:sz w:val="24"/>
                <w:szCs w:val="24"/>
              </w:rPr>
            </w:pPr>
            <w:r>
              <w:rPr>
                <w:b/>
                <w:sz w:val="24"/>
                <w:szCs w:val="24"/>
              </w:rPr>
              <w:t>Sub-part(s)</w:t>
            </w:r>
          </w:p>
        </w:tc>
        <w:tc>
          <w:tcPr>
            <w:tcW w:w="3286" w:type="dxa"/>
            <w:shd w:val="clear" w:color="auto" w:fill="A50021"/>
          </w:tcPr>
          <w:p w14:paraId="5D9A3F28" w14:textId="09431885" w:rsidR="009D5545" w:rsidRPr="009D5545" w:rsidRDefault="009D5545" w:rsidP="004D71A8">
            <w:pPr>
              <w:jc w:val="center"/>
              <w:rPr>
                <w:b/>
                <w:sz w:val="24"/>
                <w:szCs w:val="24"/>
              </w:rPr>
            </w:pPr>
            <w:r w:rsidRPr="009D5545">
              <w:rPr>
                <w:b/>
                <w:sz w:val="24"/>
                <w:szCs w:val="24"/>
              </w:rPr>
              <w:t>Description</w:t>
            </w:r>
          </w:p>
        </w:tc>
        <w:tc>
          <w:tcPr>
            <w:tcW w:w="2970" w:type="dxa"/>
            <w:shd w:val="clear" w:color="auto" w:fill="A50021"/>
          </w:tcPr>
          <w:p w14:paraId="0175BE26" w14:textId="59AD665D" w:rsidR="009D5545" w:rsidRPr="009D5545" w:rsidRDefault="009D5545" w:rsidP="009D5545">
            <w:pPr>
              <w:jc w:val="center"/>
              <w:rPr>
                <w:b/>
                <w:sz w:val="24"/>
                <w:szCs w:val="24"/>
              </w:rPr>
            </w:pPr>
            <w:r w:rsidRPr="009D5545">
              <w:rPr>
                <w:b/>
                <w:sz w:val="24"/>
                <w:szCs w:val="24"/>
              </w:rPr>
              <w:t>Allowances/Limitations</w:t>
            </w:r>
          </w:p>
        </w:tc>
      </w:tr>
      <w:tr w:rsidR="003F7193" w14:paraId="4CE45AE2" w14:textId="77777777" w:rsidTr="00B27280">
        <w:trPr>
          <w:trHeight w:val="1760"/>
        </w:trPr>
        <w:tc>
          <w:tcPr>
            <w:tcW w:w="1698" w:type="dxa"/>
            <w:vMerge w:val="restart"/>
          </w:tcPr>
          <w:p w14:paraId="7CDECEA9" w14:textId="77777777" w:rsidR="003F7193" w:rsidRDefault="003F7193" w:rsidP="009D5545">
            <w:pPr>
              <w:jc w:val="center"/>
              <w:rPr>
                <w:b/>
                <w:sz w:val="28"/>
                <w:szCs w:val="28"/>
              </w:rPr>
            </w:pPr>
          </w:p>
          <w:p w14:paraId="3530BF76" w14:textId="58ACBB04" w:rsidR="003F7193" w:rsidRPr="009D5545" w:rsidRDefault="003F7193" w:rsidP="009D5545">
            <w:pPr>
              <w:jc w:val="center"/>
              <w:rPr>
                <w:b/>
                <w:sz w:val="28"/>
                <w:szCs w:val="28"/>
              </w:rPr>
            </w:pPr>
            <w:r>
              <w:rPr>
                <w:b/>
                <w:sz w:val="28"/>
                <w:szCs w:val="28"/>
              </w:rPr>
              <w:t>46.116(a)</w:t>
            </w:r>
          </w:p>
        </w:tc>
        <w:tc>
          <w:tcPr>
            <w:tcW w:w="1671" w:type="dxa"/>
          </w:tcPr>
          <w:p w14:paraId="2A2DDD2C" w14:textId="5FCFB6CF" w:rsidR="003F7193" w:rsidRPr="009D5545" w:rsidRDefault="003F7193" w:rsidP="00930FAC">
            <w:pPr>
              <w:rPr>
                <w:sz w:val="24"/>
                <w:szCs w:val="24"/>
              </w:rPr>
            </w:pPr>
          </w:p>
        </w:tc>
        <w:tc>
          <w:tcPr>
            <w:tcW w:w="3286" w:type="dxa"/>
          </w:tcPr>
          <w:p w14:paraId="4E1D0DC0" w14:textId="77777777" w:rsidR="003F7193" w:rsidRDefault="003F7193" w:rsidP="00930FAC">
            <w:pPr>
              <w:rPr>
                <w:sz w:val="24"/>
                <w:szCs w:val="24"/>
              </w:rPr>
            </w:pPr>
            <w:r>
              <w:rPr>
                <w:sz w:val="24"/>
                <w:szCs w:val="24"/>
              </w:rPr>
              <w:t>General conditions for consent are now numbered, new addition of reasonable person standard, and key information requirement for informed consent presentation.</w:t>
            </w:r>
          </w:p>
          <w:p w14:paraId="0185C34F" w14:textId="77777777" w:rsidR="003F7193" w:rsidRDefault="003F7193" w:rsidP="00930FAC">
            <w:pPr>
              <w:rPr>
                <w:sz w:val="24"/>
                <w:szCs w:val="24"/>
              </w:rPr>
            </w:pPr>
          </w:p>
          <w:p w14:paraId="3C8AA984" w14:textId="6FC7BB95" w:rsidR="003F7193" w:rsidRPr="009D5545" w:rsidRDefault="003F7193" w:rsidP="00B27280">
            <w:pPr>
              <w:rPr>
                <w:sz w:val="24"/>
                <w:szCs w:val="24"/>
              </w:rPr>
            </w:pPr>
            <w:r>
              <w:rPr>
                <w:sz w:val="24"/>
                <w:szCs w:val="24"/>
              </w:rPr>
              <w:t xml:space="preserve">Broad consent may be obtained in place of informed consent obtained in </w:t>
            </w:r>
            <w:r>
              <w:rPr>
                <w:sz w:val="24"/>
                <w:szCs w:val="24"/>
              </w:rPr>
              <w:lastRenderedPageBreak/>
              <w:t>accordance with the basic and additional elements, but only with respect to the storage, maintenance, and secondary research uses of identifiable private information and identifiable bio specimens.</w:t>
            </w:r>
          </w:p>
        </w:tc>
        <w:tc>
          <w:tcPr>
            <w:tcW w:w="2970" w:type="dxa"/>
          </w:tcPr>
          <w:p w14:paraId="3DBC93B1" w14:textId="77777777" w:rsidR="003F7193" w:rsidRDefault="003F7193" w:rsidP="00930FAC">
            <w:pPr>
              <w:rPr>
                <w:sz w:val="24"/>
                <w:szCs w:val="24"/>
              </w:rPr>
            </w:pPr>
            <w:r>
              <w:rPr>
                <w:sz w:val="24"/>
                <w:szCs w:val="24"/>
              </w:rPr>
              <w:lastRenderedPageBreak/>
              <w:t>A brief description of the five “factors” (elements) of consent should appear at the beginning of an informed consent process:</w:t>
            </w:r>
          </w:p>
          <w:p w14:paraId="1BCE1502" w14:textId="77777777" w:rsidR="003F7193" w:rsidRDefault="003F7193" w:rsidP="00930FAC">
            <w:pPr>
              <w:rPr>
                <w:sz w:val="24"/>
                <w:szCs w:val="24"/>
              </w:rPr>
            </w:pPr>
          </w:p>
          <w:p w14:paraId="685DEA01" w14:textId="77777777" w:rsidR="003F7193" w:rsidRDefault="003F7193" w:rsidP="00930FAC">
            <w:pPr>
              <w:rPr>
                <w:sz w:val="24"/>
                <w:szCs w:val="24"/>
              </w:rPr>
            </w:pPr>
            <w:r>
              <w:rPr>
                <w:sz w:val="24"/>
                <w:szCs w:val="24"/>
              </w:rPr>
              <w:t>1.  Consent is being sought for research and that participation is voluntary.</w:t>
            </w:r>
          </w:p>
          <w:p w14:paraId="22A0B023" w14:textId="77777777" w:rsidR="003F7193" w:rsidRDefault="003F7193" w:rsidP="00930FAC">
            <w:pPr>
              <w:rPr>
                <w:sz w:val="24"/>
                <w:szCs w:val="24"/>
              </w:rPr>
            </w:pPr>
            <w:r>
              <w:rPr>
                <w:sz w:val="24"/>
                <w:szCs w:val="24"/>
              </w:rPr>
              <w:lastRenderedPageBreak/>
              <w:t>2.  The purpose of the research, expected duration of the prospective subject’s participation, and procedures to be followed in the research.</w:t>
            </w:r>
          </w:p>
          <w:p w14:paraId="1F439DE9" w14:textId="77777777" w:rsidR="003F7193" w:rsidRDefault="003F7193" w:rsidP="00930FAC">
            <w:pPr>
              <w:rPr>
                <w:sz w:val="24"/>
                <w:szCs w:val="24"/>
              </w:rPr>
            </w:pPr>
            <w:r>
              <w:rPr>
                <w:sz w:val="24"/>
                <w:szCs w:val="24"/>
              </w:rPr>
              <w:t>3.  The reasonably foreseeable risk/discomforts to the prospective subject.</w:t>
            </w:r>
          </w:p>
          <w:p w14:paraId="47D4E467" w14:textId="77777777" w:rsidR="003F7193" w:rsidRDefault="003F7193" w:rsidP="00930FAC">
            <w:pPr>
              <w:rPr>
                <w:sz w:val="24"/>
                <w:szCs w:val="24"/>
              </w:rPr>
            </w:pPr>
            <w:r>
              <w:rPr>
                <w:sz w:val="24"/>
                <w:szCs w:val="24"/>
              </w:rPr>
              <w:t>4.  The benefits to prospective subject or other.</w:t>
            </w:r>
          </w:p>
          <w:p w14:paraId="2E960033" w14:textId="08BB0A05" w:rsidR="003F7193" w:rsidRPr="009D5545" w:rsidRDefault="003F7193" w:rsidP="00930FAC">
            <w:pPr>
              <w:rPr>
                <w:sz w:val="24"/>
                <w:szCs w:val="24"/>
              </w:rPr>
            </w:pPr>
            <w:r>
              <w:rPr>
                <w:sz w:val="24"/>
                <w:szCs w:val="24"/>
              </w:rPr>
              <w:t xml:space="preserve">5.  Appropriate alternative procedures or courses of treatment, if </w:t>
            </w:r>
            <w:proofErr w:type="gramStart"/>
            <w:r>
              <w:rPr>
                <w:sz w:val="24"/>
                <w:szCs w:val="24"/>
              </w:rPr>
              <w:t>any, that</w:t>
            </w:r>
            <w:proofErr w:type="gramEnd"/>
            <w:r>
              <w:rPr>
                <w:sz w:val="24"/>
                <w:szCs w:val="24"/>
              </w:rPr>
              <w:t xml:space="preserve"> might be advantageous to the prospective subject. </w:t>
            </w:r>
          </w:p>
        </w:tc>
      </w:tr>
      <w:tr w:rsidR="003F7193" w14:paraId="2171C9CE" w14:textId="77777777" w:rsidTr="009D5545">
        <w:trPr>
          <w:trHeight w:val="1760"/>
        </w:trPr>
        <w:tc>
          <w:tcPr>
            <w:tcW w:w="1698" w:type="dxa"/>
            <w:vMerge/>
          </w:tcPr>
          <w:p w14:paraId="2B84D2C5" w14:textId="77777777" w:rsidR="003F7193" w:rsidRDefault="003F7193" w:rsidP="009D5545">
            <w:pPr>
              <w:jc w:val="center"/>
              <w:rPr>
                <w:b/>
                <w:sz w:val="28"/>
                <w:szCs w:val="28"/>
              </w:rPr>
            </w:pPr>
          </w:p>
        </w:tc>
        <w:tc>
          <w:tcPr>
            <w:tcW w:w="1671" w:type="dxa"/>
          </w:tcPr>
          <w:p w14:paraId="2196A330" w14:textId="6EB42D1B" w:rsidR="003F7193" w:rsidRPr="009D5545" w:rsidRDefault="003F7193" w:rsidP="00930FAC">
            <w:pPr>
              <w:rPr>
                <w:sz w:val="24"/>
                <w:szCs w:val="24"/>
              </w:rPr>
            </w:pPr>
            <w:r>
              <w:rPr>
                <w:sz w:val="24"/>
                <w:szCs w:val="24"/>
              </w:rPr>
              <w:t>(4)</w:t>
            </w:r>
          </w:p>
        </w:tc>
        <w:tc>
          <w:tcPr>
            <w:tcW w:w="3286" w:type="dxa"/>
          </w:tcPr>
          <w:p w14:paraId="2AFF3730" w14:textId="4756C53B" w:rsidR="003F7193" w:rsidRDefault="003F7193" w:rsidP="00930FAC">
            <w:pPr>
              <w:rPr>
                <w:sz w:val="24"/>
                <w:szCs w:val="24"/>
              </w:rPr>
            </w:pPr>
            <w:r>
              <w:rPr>
                <w:sz w:val="24"/>
                <w:szCs w:val="24"/>
              </w:rPr>
              <w:t xml:space="preserve">The prospective subject or </w:t>
            </w:r>
            <w:r w:rsidR="00B03DBE">
              <w:rPr>
                <w:sz w:val="24"/>
                <w:szCs w:val="24"/>
              </w:rPr>
              <w:t>legally authorized representative (</w:t>
            </w:r>
            <w:r>
              <w:rPr>
                <w:sz w:val="24"/>
                <w:szCs w:val="24"/>
              </w:rPr>
              <w:t>LAR</w:t>
            </w:r>
            <w:r w:rsidR="00B03DBE">
              <w:rPr>
                <w:sz w:val="24"/>
                <w:szCs w:val="24"/>
              </w:rPr>
              <w:t>)</w:t>
            </w:r>
            <w:r>
              <w:rPr>
                <w:sz w:val="24"/>
                <w:szCs w:val="24"/>
              </w:rPr>
              <w:t xml:space="preserve"> must be provided with the information that a reasonable person would want to have in order to make an informed decision about whether to participate, and an opportunity to discuss that information.</w:t>
            </w:r>
          </w:p>
        </w:tc>
        <w:tc>
          <w:tcPr>
            <w:tcW w:w="2970" w:type="dxa"/>
          </w:tcPr>
          <w:p w14:paraId="2CC28F96" w14:textId="77777777" w:rsidR="003F7193" w:rsidRDefault="003F7193" w:rsidP="00930FAC">
            <w:pPr>
              <w:rPr>
                <w:sz w:val="24"/>
                <w:szCs w:val="24"/>
              </w:rPr>
            </w:pPr>
            <w:r>
              <w:rPr>
                <w:sz w:val="24"/>
                <w:szCs w:val="24"/>
              </w:rPr>
              <w:t xml:space="preserve">This is a new subsection and requires that subjects be provided with the information that a “reasonable person” (undefined) would want to have. </w:t>
            </w:r>
          </w:p>
          <w:p w14:paraId="139A7101" w14:textId="77777777" w:rsidR="003F7193" w:rsidRDefault="003F7193" w:rsidP="00930FAC">
            <w:pPr>
              <w:rPr>
                <w:sz w:val="24"/>
                <w:szCs w:val="24"/>
              </w:rPr>
            </w:pPr>
          </w:p>
          <w:p w14:paraId="1BF5029C" w14:textId="2869E080" w:rsidR="003F7193" w:rsidRPr="009D5545" w:rsidRDefault="003F7193" w:rsidP="00930FAC">
            <w:pPr>
              <w:rPr>
                <w:sz w:val="24"/>
                <w:szCs w:val="24"/>
              </w:rPr>
            </w:pPr>
            <w:r>
              <w:rPr>
                <w:sz w:val="24"/>
                <w:szCs w:val="24"/>
              </w:rPr>
              <w:t>For certain types of research (e.g. research for which there is reason to believe subjects will find the research controversial or objectionable), a robust description of the research will be required to meet this reasonable person standard.</w:t>
            </w:r>
          </w:p>
        </w:tc>
      </w:tr>
      <w:tr w:rsidR="003F7193" w14:paraId="43C48D9C" w14:textId="77777777" w:rsidTr="003F7193">
        <w:trPr>
          <w:trHeight w:val="1270"/>
        </w:trPr>
        <w:tc>
          <w:tcPr>
            <w:tcW w:w="1698" w:type="dxa"/>
            <w:vMerge/>
          </w:tcPr>
          <w:p w14:paraId="2557A0FB" w14:textId="77777777" w:rsidR="003F7193" w:rsidRDefault="003F7193" w:rsidP="009D5545">
            <w:pPr>
              <w:jc w:val="center"/>
              <w:rPr>
                <w:b/>
                <w:sz w:val="28"/>
                <w:szCs w:val="28"/>
              </w:rPr>
            </w:pPr>
          </w:p>
        </w:tc>
        <w:tc>
          <w:tcPr>
            <w:tcW w:w="1671" w:type="dxa"/>
          </w:tcPr>
          <w:p w14:paraId="2DC7790E" w14:textId="58B54AA1" w:rsidR="003F7193" w:rsidRPr="009D5545" w:rsidRDefault="003F7193" w:rsidP="00930FAC">
            <w:pPr>
              <w:rPr>
                <w:sz w:val="24"/>
                <w:szCs w:val="24"/>
              </w:rPr>
            </w:pPr>
            <w:r>
              <w:rPr>
                <w:sz w:val="24"/>
                <w:szCs w:val="24"/>
              </w:rPr>
              <w:t>(5) (</w:t>
            </w:r>
            <w:proofErr w:type="spellStart"/>
            <w:r>
              <w:rPr>
                <w:sz w:val="24"/>
                <w:szCs w:val="24"/>
              </w:rPr>
              <w:t>i</w:t>
            </w:r>
            <w:proofErr w:type="spellEnd"/>
            <w:r>
              <w:rPr>
                <w:sz w:val="24"/>
                <w:szCs w:val="24"/>
              </w:rPr>
              <w:t>)</w:t>
            </w:r>
          </w:p>
        </w:tc>
        <w:tc>
          <w:tcPr>
            <w:tcW w:w="3286" w:type="dxa"/>
          </w:tcPr>
          <w:p w14:paraId="587BC695" w14:textId="42FD1B46" w:rsidR="003F7193" w:rsidRDefault="003F7193" w:rsidP="00930FAC">
            <w:pPr>
              <w:rPr>
                <w:sz w:val="24"/>
                <w:szCs w:val="24"/>
              </w:rPr>
            </w:pPr>
            <w:r>
              <w:rPr>
                <w:sz w:val="24"/>
                <w:szCs w:val="24"/>
              </w:rPr>
              <w:t xml:space="preserve">Informed consent must begin with a concise and focused presentation of the key information that is most likely to assist a prospective subject or LAR in understanding the reasons why one might or </w:t>
            </w:r>
            <w:r>
              <w:rPr>
                <w:sz w:val="24"/>
                <w:szCs w:val="24"/>
              </w:rPr>
              <w:lastRenderedPageBreak/>
              <w:t xml:space="preserve">might not want to participate in the research.  This part </w:t>
            </w:r>
            <w:r w:rsidR="00A927FE">
              <w:rPr>
                <w:sz w:val="24"/>
                <w:szCs w:val="24"/>
              </w:rPr>
              <w:t xml:space="preserve">of </w:t>
            </w:r>
            <w:r>
              <w:rPr>
                <w:sz w:val="24"/>
                <w:szCs w:val="24"/>
              </w:rPr>
              <w:t>the informed consent must be organized and presented in a way that facilitates comprehension.</w:t>
            </w:r>
          </w:p>
        </w:tc>
        <w:tc>
          <w:tcPr>
            <w:tcW w:w="2970" w:type="dxa"/>
          </w:tcPr>
          <w:p w14:paraId="1F7E1A52" w14:textId="1159E9CA" w:rsidR="003F7193" w:rsidRPr="009D5545" w:rsidRDefault="003F7193" w:rsidP="00930FAC">
            <w:pPr>
              <w:rPr>
                <w:sz w:val="24"/>
                <w:szCs w:val="24"/>
              </w:rPr>
            </w:pPr>
            <w:r>
              <w:rPr>
                <w:sz w:val="24"/>
                <w:szCs w:val="24"/>
              </w:rPr>
              <w:lastRenderedPageBreak/>
              <w:t xml:space="preserve">When broad consent is obtained, the requirements imposed by 46.116 (a) (5) for the presenting of information for informed consent and prescribing order in which consent </w:t>
            </w:r>
            <w:r>
              <w:rPr>
                <w:sz w:val="24"/>
                <w:szCs w:val="24"/>
              </w:rPr>
              <w:lastRenderedPageBreak/>
              <w:t>information is presented, do not apply.</w:t>
            </w:r>
          </w:p>
        </w:tc>
      </w:tr>
      <w:tr w:rsidR="003F7193" w14:paraId="323A556E" w14:textId="77777777" w:rsidTr="009D5545">
        <w:trPr>
          <w:trHeight w:val="1270"/>
        </w:trPr>
        <w:tc>
          <w:tcPr>
            <w:tcW w:w="1698" w:type="dxa"/>
            <w:vMerge/>
          </w:tcPr>
          <w:p w14:paraId="5A1EB465" w14:textId="77777777" w:rsidR="003F7193" w:rsidRDefault="003F7193" w:rsidP="009D5545">
            <w:pPr>
              <w:jc w:val="center"/>
              <w:rPr>
                <w:b/>
                <w:sz w:val="28"/>
                <w:szCs w:val="28"/>
              </w:rPr>
            </w:pPr>
          </w:p>
        </w:tc>
        <w:tc>
          <w:tcPr>
            <w:tcW w:w="1671" w:type="dxa"/>
          </w:tcPr>
          <w:p w14:paraId="66FB7AD4" w14:textId="5FBEC062" w:rsidR="003F7193" w:rsidRDefault="003F7193" w:rsidP="00930FAC">
            <w:pPr>
              <w:rPr>
                <w:sz w:val="24"/>
                <w:szCs w:val="24"/>
              </w:rPr>
            </w:pPr>
            <w:r>
              <w:rPr>
                <w:sz w:val="24"/>
                <w:szCs w:val="24"/>
              </w:rPr>
              <w:t>(5) (ii)</w:t>
            </w:r>
          </w:p>
        </w:tc>
        <w:tc>
          <w:tcPr>
            <w:tcW w:w="3286" w:type="dxa"/>
          </w:tcPr>
          <w:p w14:paraId="58A405AF" w14:textId="2778F32B" w:rsidR="003F7193" w:rsidRDefault="003F7193" w:rsidP="00930FAC">
            <w:pPr>
              <w:rPr>
                <w:sz w:val="24"/>
                <w:szCs w:val="24"/>
              </w:rPr>
            </w:pPr>
            <w:r>
              <w:rPr>
                <w:sz w:val="24"/>
                <w:szCs w:val="24"/>
              </w:rPr>
              <w:t>Informed consent as a whole must present information in sufficient detail relating to the research, and must be organized and presented in a way that does not merely provide lists of isolated facts, but rather facilitates the prospective subject’s or LAR understanding of the reasons why one might or might not want to participate.</w:t>
            </w:r>
          </w:p>
        </w:tc>
        <w:tc>
          <w:tcPr>
            <w:tcW w:w="2970" w:type="dxa"/>
          </w:tcPr>
          <w:p w14:paraId="277AEF48" w14:textId="77777777" w:rsidR="003F7193" w:rsidRDefault="003F7193" w:rsidP="00930FAC">
            <w:pPr>
              <w:rPr>
                <w:sz w:val="24"/>
                <w:szCs w:val="24"/>
              </w:rPr>
            </w:pPr>
          </w:p>
        </w:tc>
      </w:tr>
      <w:tr w:rsidR="003F7193" w14:paraId="3DAEC54A" w14:textId="77777777" w:rsidTr="009D5545">
        <w:trPr>
          <w:trHeight w:val="1270"/>
        </w:trPr>
        <w:tc>
          <w:tcPr>
            <w:tcW w:w="1698" w:type="dxa"/>
            <w:vMerge/>
          </w:tcPr>
          <w:p w14:paraId="02EC2040" w14:textId="77777777" w:rsidR="003F7193" w:rsidRDefault="003F7193" w:rsidP="009D5545">
            <w:pPr>
              <w:jc w:val="center"/>
              <w:rPr>
                <w:b/>
                <w:sz w:val="28"/>
                <w:szCs w:val="28"/>
              </w:rPr>
            </w:pPr>
          </w:p>
        </w:tc>
        <w:tc>
          <w:tcPr>
            <w:tcW w:w="1671" w:type="dxa"/>
          </w:tcPr>
          <w:p w14:paraId="379DEF13" w14:textId="2E1081D2" w:rsidR="003F7193" w:rsidRDefault="007342E7" w:rsidP="00930FAC">
            <w:pPr>
              <w:rPr>
                <w:sz w:val="24"/>
                <w:szCs w:val="24"/>
              </w:rPr>
            </w:pPr>
            <w:r>
              <w:rPr>
                <w:sz w:val="24"/>
                <w:szCs w:val="24"/>
              </w:rPr>
              <w:t>(6)</w:t>
            </w:r>
          </w:p>
        </w:tc>
        <w:tc>
          <w:tcPr>
            <w:tcW w:w="3286" w:type="dxa"/>
          </w:tcPr>
          <w:p w14:paraId="40E96BBE" w14:textId="2C7CFF2C" w:rsidR="003F7193" w:rsidRDefault="007342E7" w:rsidP="00930FAC">
            <w:pPr>
              <w:rPr>
                <w:sz w:val="24"/>
                <w:szCs w:val="24"/>
              </w:rPr>
            </w:pPr>
            <w:r>
              <w:rPr>
                <w:sz w:val="24"/>
                <w:szCs w:val="24"/>
              </w:rPr>
              <w:t>The reference to “oral or written consent” was moved to the first sentence of 46.116 (a).  Otherwise the exculpatory considerations remain unchanged.</w:t>
            </w:r>
          </w:p>
        </w:tc>
        <w:tc>
          <w:tcPr>
            <w:tcW w:w="2970" w:type="dxa"/>
          </w:tcPr>
          <w:p w14:paraId="55D73F93" w14:textId="77777777" w:rsidR="003F7193" w:rsidRDefault="003F7193" w:rsidP="00930FAC">
            <w:pPr>
              <w:rPr>
                <w:sz w:val="24"/>
                <w:szCs w:val="24"/>
              </w:rPr>
            </w:pPr>
          </w:p>
        </w:tc>
      </w:tr>
      <w:tr w:rsidR="00596EB7" w14:paraId="1BD3FFF0" w14:textId="77777777" w:rsidTr="00596EB7">
        <w:trPr>
          <w:trHeight w:val="390"/>
        </w:trPr>
        <w:tc>
          <w:tcPr>
            <w:tcW w:w="1698" w:type="dxa"/>
            <w:vMerge w:val="restart"/>
          </w:tcPr>
          <w:p w14:paraId="4BC91DDD" w14:textId="1096170F" w:rsidR="00596EB7" w:rsidRDefault="00596EB7" w:rsidP="001708A1">
            <w:pPr>
              <w:jc w:val="center"/>
              <w:rPr>
                <w:b/>
                <w:sz w:val="28"/>
                <w:szCs w:val="28"/>
              </w:rPr>
            </w:pPr>
            <w:r>
              <w:rPr>
                <w:b/>
                <w:sz w:val="28"/>
                <w:szCs w:val="28"/>
              </w:rPr>
              <w:t>46.116 (b)</w:t>
            </w:r>
          </w:p>
        </w:tc>
        <w:tc>
          <w:tcPr>
            <w:tcW w:w="1671" w:type="dxa"/>
          </w:tcPr>
          <w:p w14:paraId="7D8B7AC0" w14:textId="77777777" w:rsidR="00596EB7" w:rsidRPr="006A6A8D" w:rsidRDefault="00596EB7" w:rsidP="00930FAC">
            <w:pPr>
              <w:rPr>
                <w:sz w:val="24"/>
                <w:szCs w:val="24"/>
              </w:rPr>
            </w:pPr>
          </w:p>
        </w:tc>
        <w:tc>
          <w:tcPr>
            <w:tcW w:w="3286" w:type="dxa"/>
          </w:tcPr>
          <w:p w14:paraId="6AF1254A" w14:textId="3F0AA000" w:rsidR="00596EB7" w:rsidRPr="00553CB3" w:rsidRDefault="00596EB7" w:rsidP="00930FAC">
            <w:pPr>
              <w:rPr>
                <w:b/>
                <w:sz w:val="24"/>
                <w:szCs w:val="24"/>
              </w:rPr>
            </w:pPr>
            <w:r w:rsidRPr="00553CB3">
              <w:rPr>
                <w:b/>
                <w:sz w:val="24"/>
                <w:szCs w:val="24"/>
              </w:rPr>
              <w:t xml:space="preserve">No changes to the eight previous basic informational elements of consent, but a new requirement </w:t>
            </w:r>
            <w:r w:rsidR="00183E00" w:rsidRPr="00553CB3">
              <w:rPr>
                <w:b/>
                <w:sz w:val="24"/>
                <w:szCs w:val="24"/>
              </w:rPr>
              <w:t>was added to include one of two statements about the collection of private information or identifiable bio specimens for future research:</w:t>
            </w:r>
          </w:p>
        </w:tc>
        <w:tc>
          <w:tcPr>
            <w:tcW w:w="2970" w:type="dxa"/>
          </w:tcPr>
          <w:p w14:paraId="4030665E" w14:textId="4EE41F0A" w:rsidR="00596EB7" w:rsidRPr="00596EB7" w:rsidRDefault="00183E00" w:rsidP="00596EB7">
            <w:pPr>
              <w:rPr>
                <w:sz w:val="24"/>
                <w:szCs w:val="24"/>
              </w:rPr>
            </w:pPr>
            <w:r>
              <w:rPr>
                <w:sz w:val="24"/>
                <w:szCs w:val="24"/>
              </w:rPr>
              <w:t>Requires using a brief statement to inform potential subjects about the possible use of their identifiable private information or bio specimens.</w:t>
            </w:r>
          </w:p>
        </w:tc>
      </w:tr>
      <w:tr w:rsidR="00596EB7" w14:paraId="7ACA9E7E" w14:textId="77777777" w:rsidTr="001708A1">
        <w:trPr>
          <w:trHeight w:val="390"/>
        </w:trPr>
        <w:tc>
          <w:tcPr>
            <w:tcW w:w="1698" w:type="dxa"/>
            <w:vMerge/>
          </w:tcPr>
          <w:p w14:paraId="3A6D6D16" w14:textId="77777777" w:rsidR="00596EB7" w:rsidRDefault="00596EB7" w:rsidP="001708A1">
            <w:pPr>
              <w:jc w:val="center"/>
              <w:rPr>
                <w:b/>
                <w:sz w:val="28"/>
                <w:szCs w:val="28"/>
              </w:rPr>
            </w:pPr>
          </w:p>
        </w:tc>
        <w:tc>
          <w:tcPr>
            <w:tcW w:w="1671" w:type="dxa"/>
          </w:tcPr>
          <w:p w14:paraId="12FEA775" w14:textId="6B1D953A" w:rsidR="00596EB7" w:rsidRPr="006A6A8D" w:rsidRDefault="00183E00" w:rsidP="00930FAC">
            <w:pPr>
              <w:rPr>
                <w:sz w:val="24"/>
                <w:szCs w:val="24"/>
              </w:rPr>
            </w:pPr>
            <w:r>
              <w:rPr>
                <w:sz w:val="24"/>
                <w:szCs w:val="24"/>
              </w:rPr>
              <w:t>(9) (</w:t>
            </w:r>
            <w:proofErr w:type="spellStart"/>
            <w:r>
              <w:rPr>
                <w:sz w:val="24"/>
                <w:szCs w:val="24"/>
              </w:rPr>
              <w:t>i</w:t>
            </w:r>
            <w:proofErr w:type="spellEnd"/>
            <w:r>
              <w:rPr>
                <w:sz w:val="24"/>
                <w:szCs w:val="24"/>
              </w:rPr>
              <w:t>)</w:t>
            </w:r>
          </w:p>
        </w:tc>
        <w:tc>
          <w:tcPr>
            <w:tcW w:w="3286" w:type="dxa"/>
          </w:tcPr>
          <w:p w14:paraId="4E6AEB66" w14:textId="00ABD6AD" w:rsidR="00596EB7" w:rsidRDefault="00183E00" w:rsidP="00930FAC">
            <w:pPr>
              <w:rPr>
                <w:sz w:val="24"/>
                <w:szCs w:val="24"/>
              </w:rPr>
            </w:pPr>
            <w:r>
              <w:rPr>
                <w:sz w:val="24"/>
                <w:szCs w:val="24"/>
              </w:rPr>
              <w:t xml:space="preserve">A statement that identifiers might be removed from the identifiable private information or identifiable bio specimens and that, after such removal, the information or bio specimens could be used for future research studies or distributed to another investigator for future research </w:t>
            </w:r>
            <w:r>
              <w:rPr>
                <w:sz w:val="24"/>
                <w:szCs w:val="24"/>
              </w:rPr>
              <w:lastRenderedPageBreak/>
              <w:t xml:space="preserve">studies without additional informed consent from the subject or the LAR, if this might be a possibility; or </w:t>
            </w:r>
          </w:p>
        </w:tc>
        <w:tc>
          <w:tcPr>
            <w:tcW w:w="2970" w:type="dxa"/>
          </w:tcPr>
          <w:p w14:paraId="76D59539" w14:textId="77777777" w:rsidR="00596EB7" w:rsidRPr="00596EB7" w:rsidRDefault="00596EB7" w:rsidP="00596EB7">
            <w:pPr>
              <w:rPr>
                <w:sz w:val="24"/>
                <w:szCs w:val="24"/>
              </w:rPr>
            </w:pPr>
          </w:p>
        </w:tc>
      </w:tr>
      <w:tr w:rsidR="00596EB7" w14:paraId="4665BFA9" w14:textId="77777777" w:rsidTr="001708A1">
        <w:trPr>
          <w:trHeight w:val="390"/>
        </w:trPr>
        <w:tc>
          <w:tcPr>
            <w:tcW w:w="1698" w:type="dxa"/>
            <w:vMerge/>
          </w:tcPr>
          <w:p w14:paraId="4A2F5277" w14:textId="77777777" w:rsidR="00596EB7" w:rsidRDefault="00596EB7" w:rsidP="001708A1">
            <w:pPr>
              <w:jc w:val="center"/>
              <w:rPr>
                <w:b/>
                <w:sz w:val="28"/>
                <w:szCs w:val="28"/>
              </w:rPr>
            </w:pPr>
          </w:p>
        </w:tc>
        <w:tc>
          <w:tcPr>
            <w:tcW w:w="1671" w:type="dxa"/>
          </w:tcPr>
          <w:p w14:paraId="147B8177" w14:textId="66787942" w:rsidR="00596EB7" w:rsidRPr="006A6A8D" w:rsidRDefault="00183E00" w:rsidP="00930FAC">
            <w:pPr>
              <w:rPr>
                <w:sz w:val="24"/>
                <w:szCs w:val="24"/>
              </w:rPr>
            </w:pPr>
            <w:r>
              <w:rPr>
                <w:sz w:val="24"/>
                <w:szCs w:val="24"/>
              </w:rPr>
              <w:t>(9) (ii)</w:t>
            </w:r>
          </w:p>
        </w:tc>
        <w:tc>
          <w:tcPr>
            <w:tcW w:w="3286" w:type="dxa"/>
          </w:tcPr>
          <w:p w14:paraId="61226ABA" w14:textId="5DF322E5" w:rsidR="00596EB7" w:rsidRDefault="00183E00" w:rsidP="00930FAC">
            <w:pPr>
              <w:rPr>
                <w:sz w:val="24"/>
                <w:szCs w:val="24"/>
              </w:rPr>
            </w:pPr>
            <w:r>
              <w:rPr>
                <w:sz w:val="24"/>
                <w:szCs w:val="24"/>
              </w:rPr>
              <w:t>A statement that the subject’s information or bio specimens collected as part of the research, even if identifiers are removed, will not be used or distributed for future research studies.</w:t>
            </w:r>
          </w:p>
        </w:tc>
        <w:tc>
          <w:tcPr>
            <w:tcW w:w="2970" w:type="dxa"/>
          </w:tcPr>
          <w:p w14:paraId="006539C4" w14:textId="77777777" w:rsidR="00596EB7" w:rsidRPr="00596EB7" w:rsidRDefault="00596EB7" w:rsidP="00596EB7">
            <w:pPr>
              <w:rPr>
                <w:sz w:val="24"/>
                <w:szCs w:val="24"/>
              </w:rPr>
            </w:pPr>
          </w:p>
        </w:tc>
      </w:tr>
      <w:tr w:rsidR="00C2208A" w14:paraId="6EDBE910" w14:textId="77777777" w:rsidTr="00B31E6A">
        <w:trPr>
          <w:trHeight w:val="390"/>
        </w:trPr>
        <w:tc>
          <w:tcPr>
            <w:tcW w:w="1698" w:type="dxa"/>
            <w:vMerge w:val="restart"/>
          </w:tcPr>
          <w:p w14:paraId="178266FA" w14:textId="1C542BA5" w:rsidR="00C2208A" w:rsidRDefault="00C2208A" w:rsidP="001708A1">
            <w:pPr>
              <w:jc w:val="center"/>
              <w:rPr>
                <w:b/>
                <w:sz w:val="28"/>
                <w:szCs w:val="28"/>
              </w:rPr>
            </w:pPr>
            <w:r>
              <w:rPr>
                <w:b/>
                <w:sz w:val="28"/>
                <w:szCs w:val="28"/>
              </w:rPr>
              <w:t xml:space="preserve">46.116 (c) </w:t>
            </w:r>
          </w:p>
        </w:tc>
        <w:tc>
          <w:tcPr>
            <w:tcW w:w="1671" w:type="dxa"/>
          </w:tcPr>
          <w:p w14:paraId="00B53B72" w14:textId="77777777" w:rsidR="00C2208A" w:rsidRDefault="00C2208A" w:rsidP="00930FAC">
            <w:pPr>
              <w:rPr>
                <w:sz w:val="24"/>
                <w:szCs w:val="24"/>
              </w:rPr>
            </w:pPr>
          </w:p>
        </w:tc>
        <w:tc>
          <w:tcPr>
            <w:tcW w:w="3286" w:type="dxa"/>
          </w:tcPr>
          <w:p w14:paraId="43B647DA" w14:textId="17D8996B" w:rsidR="00C2208A" w:rsidRPr="00553CB3" w:rsidRDefault="00C2208A" w:rsidP="00930FAC">
            <w:pPr>
              <w:rPr>
                <w:b/>
                <w:sz w:val="24"/>
                <w:szCs w:val="24"/>
              </w:rPr>
            </w:pPr>
            <w:r w:rsidRPr="00553CB3">
              <w:rPr>
                <w:b/>
                <w:sz w:val="24"/>
                <w:szCs w:val="24"/>
              </w:rPr>
              <w:t>No changes to the six previous additional elements of consent, but three new requirements were added:</w:t>
            </w:r>
          </w:p>
        </w:tc>
        <w:tc>
          <w:tcPr>
            <w:tcW w:w="2970" w:type="dxa"/>
          </w:tcPr>
          <w:p w14:paraId="42EF3BF4" w14:textId="77777777" w:rsidR="00C2208A" w:rsidRPr="00596EB7" w:rsidRDefault="00C2208A" w:rsidP="00596EB7">
            <w:pPr>
              <w:rPr>
                <w:sz w:val="24"/>
                <w:szCs w:val="24"/>
              </w:rPr>
            </w:pPr>
          </w:p>
        </w:tc>
      </w:tr>
      <w:tr w:rsidR="00C2208A" w14:paraId="12445C36" w14:textId="77777777" w:rsidTr="001708A1">
        <w:trPr>
          <w:trHeight w:val="390"/>
        </w:trPr>
        <w:tc>
          <w:tcPr>
            <w:tcW w:w="1698" w:type="dxa"/>
            <w:vMerge/>
          </w:tcPr>
          <w:p w14:paraId="00417E9A" w14:textId="77777777" w:rsidR="00C2208A" w:rsidRDefault="00C2208A" w:rsidP="001708A1">
            <w:pPr>
              <w:jc w:val="center"/>
              <w:rPr>
                <w:b/>
                <w:sz w:val="28"/>
                <w:szCs w:val="28"/>
              </w:rPr>
            </w:pPr>
          </w:p>
        </w:tc>
        <w:tc>
          <w:tcPr>
            <w:tcW w:w="1671" w:type="dxa"/>
          </w:tcPr>
          <w:p w14:paraId="6BA29AE5" w14:textId="6883953B" w:rsidR="00C2208A" w:rsidRDefault="00C2208A" w:rsidP="00930FAC">
            <w:pPr>
              <w:rPr>
                <w:sz w:val="24"/>
                <w:szCs w:val="24"/>
              </w:rPr>
            </w:pPr>
            <w:r>
              <w:rPr>
                <w:sz w:val="24"/>
                <w:szCs w:val="24"/>
              </w:rPr>
              <w:t>(c) (7)</w:t>
            </w:r>
          </w:p>
        </w:tc>
        <w:tc>
          <w:tcPr>
            <w:tcW w:w="3286" w:type="dxa"/>
          </w:tcPr>
          <w:p w14:paraId="581D46A5" w14:textId="438D68A2" w:rsidR="00C2208A" w:rsidRDefault="00C2208A" w:rsidP="00930FAC">
            <w:pPr>
              <w:rPr>
                <w:sz w:val="24"/>
                <w:szCs w:val="24"/>
              </w:rPr>
            </w:pPr>
            <w:r>
              <w:rPr>
                <w:sz w:val="24"/>
                <w:szCs w:val="24"/>
              </w:rPr>
              <w:t>A statement that the subject’s bio specimens (even if identifiers are removed) may be used for commercial profit and whether the subject will or will not share in this commercial profit.</w:t>
            </w:r>
          </w:p>
        </w:tc>
        <w:tc>
          <w:tcPr>
            <w:tcW w:w="2970" w:type="dxa"/>
          </w:tcPr>
          <w:p w14:paraId="762C0839" w14:textId="77777777" w:rsidR="00C2208A" w:rsidRPr="00596EB7" w:rsidRDefault="00C2208A" w:rsidP="00596EB7">
            <w:pPr>
              <w:rPr>
                <w:sz w:val="24"/>
                <w:szCs w:val="24"/>
              </w:rPr>
            </w:pPr>
          </w:p>
        </w:tc>
      </w:tr>
      <w:tr w:rsidR="00C2208A" w14:paraId="1D7521EF" w14:textId="77777777" w:rsidTr="00C2208A">
        <w:trPr>
          <w:trHeight w:val="878"/>
        </w:trPr>
        <w:tc>
          <w:tcPr>
            <w:tcW w:w="1698" w:type="dxa"/>
            <w:vMerge/>
          </w:tcPr>
          <w:p w14:paraId="63922D80" w14:textId="77777777" w:rsidR="00C2208A" w:rsidRDefault="00C2208A" w:rsidP="001708A1">
            <w:pPr>
              <w:jc w:val="center"/>
              <w:rPr>
                <w:b/>
                <w:sz w:val="28"/>
                <w:szCs w:val="28"/>
              </w:rPr>
            </w:pPr>
          </w:p>
        </w:tc>
        <w:tc>
          <w:tcPr>
            <w:tcW w:w="1671" w:type="dxa"/>
          </w:tcPr>
          <w:p w14:paraId="79E875F1" w14:textId="6C62FDF8" w:rsidR="00C2208A" w:rsidRDefault="00C2208A" w:rsidP="00930FAC">
            <w:pPr>
              <w:rPr>
                <w:sz w:val="24"/>
                <w:szCs w:val="24"/>
              </w:rPr>
            </w:pPr>
            <w:r>
              <w:rPr>
                <w:sz w:val="24"/>
                <w:szCs w:val="24"/>
              </w:rPr>
              <w:t>(c) (8)</w:t>
            </w:r>
          </w:p>
        </w:tc>
        <w:tc>
          <w:tcPr>
            <w:tcW w:w="3286" w:type="dxa"/>
          </w:tcPr>
          <w:p w14:paraId="660194B6" w14:textId="3499C3C0" w:rsidR="00C2208A" w:rsidRDefault="00C2208A" w:rsidP="00930FAC">
            <w:pPr>
              <w:rPr>
                <w:sz w:val="24"/>
                <w:szCs w:val="24"/>
              </w:rPr>
            </w:pPr>
            <w:r>
              <w:rPr>
                <w:sz w:val="24"/>
                <w:szCs w:val="24"/>
              </w:rPr>
              <w:t>A statement regarding whether clinically relevant research results, including individual research results, will be disclosed to the subjects, and if so, under what conditions.</w:t>
            </w:r>
          </w:p>
        </w:tc>
        <w:tc>
          <w:tcPr>
            <w:tcW w:w="2970" w:type="dxa"/>
            <w:vMerge w:val="restart"/>
          </w:tcPr>
          <w:p w14:paraId="65B2F530" w14:textId="77777777" w:rsidR="00C2208A" w:rsidRPr="00596EB7" w:rsidRDefault="00C2208A" w:rsidP="00596EB7">
            <w:pPr>
              <w:rPr>
                <w:sz w:val="24"/>
                <w:szCs w:val="24"/>
              </w:rPr>
            </w:pPr>
          </w:p>
        </w:tc>
      </w:tr>
      <w:tr w:rsidR="00C2208A" w14:paraId="0595A2FF" w14:textId="77777777" w:rsidTr="001708A1">
        <w:trPr>
          <w:trHeight w:val="877"/>
        </w:trPr>
        <w:tc>
          <w:tcPr>
            <w:tcW w:w="1698" w:type="dxa"/>
            <w:vMerge/>
          </w:tcPr>
          <w:p w14:paraId="7E107E5F" w14:textId="77777777" w:rsidR="00C2208A" w:rsidRDefault="00C2208A" w:rsidP="001708A1">
            <w:pPr>
              <w:jc w:val="center"/>
              <w:rPr>
                <w:b/>
                <w:sz w:val="28"/>
                <w:szCs w:val="28"/>
              </w:rPr>
            </w:pPr>
          </w:p>
        </w:tc>
        <w:tc>
          <w:tcPr>
            <w:tcW w:w="1671" w:type="dxa"/>
          </w:tcPr>
          <w:p w14:paraId="59CD0B8E" w14:textId="4902B6F3" w:rsidR="00C2208A" w:rsidRDefault="00C2208A" w:rsidP="00930FAC">
            <w:pPr>
              <w:rPr>
                <w:sz w:val="24"/>
                <w:szCs w:val="24"/>
              </w:rPr>
            </w:pPr>
            <w:r>
              <w:rPr>
                <w:sz w:val="24"/>
                <w:szCs w:val="24"/>
              </w:rPr>
              <w:t>(c) (9)</w:t>
            </w:r>
          </w:p>
        </w:tc>
        <w:tc>
          <w:tcPr>
            <w:tcW w:w="3286" w:type="dxa"/>
          </w:tcPr>
          <w:p w14:paraId="2A4128F8" w14:textId="7FF137A9" w:rsidR="00C2208A" w:rsidRDefault="007F7FD9" w:rsidP="00930FAC">
            <w:pPr>
              <w:rPr>
                <w:sz w:val="24"/>
                <w:szCs w:val="24"/>
              </w:rPr>
            </w:pPr>
            <w:r>
              <w:rPr>
                <w:sz w:val="24"/>
                <w:szCs w:val="24"/>
              </w:rPr>
              <w:t>For research involving bio specimens, whether the research will (if known) or might include whole genome sequencing (i.e., sequencing of a human germline or somatic specimen with the intent to generate the genome or exome sequence of that specimen).</w:t>
            </w:r>
          </w:p>
        </w:tc>
        <w:tc>
          <w:tcPr>
            <w:tcW w:w="2970" w:type="dxa"/>
            <w:vMerge/>
          </w:tcPr>
          <w:p w14:paraId="20CD7887" w14:textId="77777777" w:rsidR="00C2208A" w:rsidRPr="00596EB7" w:rsidRDefault="00C2208A" w:rsidP="00596EB7">
            <w:pPr>
              <w:rPr>
                <w:sz w:val="24"/>
                <w:szCs w:val="24"/>
              </w:rPr>
            </w:pPr>
          </w:p>
        </w:tc>
      </w:tr>
      <w:tr w:rsidR="004E0312" w14:paraId="524C412C" w14:textId="77777777" w:rsidTr="004E0312">
        <w:trPr>
          <w:trHeight w:val="585"/>
        </w:trPr>
        <w:tc>
          <w:tcPr>
            <w:tcW w:w="1698" w:type="dxa"/>
            <w:vMerge w:val="restart"/>
          </w:tcPr>
          <w:p w14:paraId="318AA757" w14:textId="76EA2AE6" w:rsidR="004E0312" w:rsidRDefault="004E0312" w:rsidP="001708A1">
            <w:pPr>
              <w:jc w:val="center"/>
              <w:rPr>
                <w:b/>
                <w:sz w:val="28"/>
                <w:szCs w:val="28"/>
              </w:rPr>
            </w:pPr>
            <w:r>
              <w:rPr>
                <w:b/>
                <w:sz w:val="28"/>
                <w:szCs w:val="28"/>
              </w:rPr>
              <w:t>46.116 (e)</w:t>
            </w:r>
          </w:p>
        </w:tc>
        <w:tc>
          <w:tcPr>
            <w:tcW w:w="1671" w:type="dxa"/>
          </w:tcPr>
          <w:p w14:paraId="2F42878D" w14:textId="77777777" w:rsidR="004E0312" w:rsidRDefault="004E0312" w:rsidP="00930FAC">
            <w:pPr>
              <w:rPr>
                <w:sz w:val="24"/>
                <w:szCs w:val="24"/>
              </w:rPr>
            </w:pPr>
          </w:p>
        </w:tc>
        <w:tc>
          <w:tcPr>
            <w:tcW w:w="3286" w:type="dxa"/>
          </w:tcPr>
          <w:p w14:paraId="265708FC" w14:textId="2E3EEA28" w:rsidR="004E0312" w:rsidRPr="00553CB3" w:rsidRDefault="004E0312" w:rsidP="00930FAC">
            <w:pPr>
              <w:rPr>
                <w:b/>
                <w:sz w:val="24"/>
                <w:szCs w:val="24"/>
              </w:rPr>
            </w:pPr>
            <w:r w:rsidRPr="00553CB3">
              <w:rPr>
                <w:b/>
                <w:sz w:val="24"/>
                <w:szCs w:val="24"/>
              </w:rPr>
              <w:t xml:space="preserve">Waiver of Alteration of Consent in Research Involving Public Benefit and Service Programs Conducted by or </w:t>
            </w:r>
            <w:r w:rsidRPr="00553CB3">
              <w:rPr>
                <w:b/>
                <w:sz w:val="24"/>
                <w:szCs w:val="24"/>
              </w:rPr>
              <w:lastRenderedPageBreak/>
              <w:t>Subject to the Approval of State or Local Officials</w:t>
            </w:r>
          </w:p>
        </w:tc>
        <w:tc>
          <w:tcPr>
            <w:tcW w:w="2970" w:type="dxa"/>
          </w:tcPr>
          <w:p w14:paraId="74008070" w14:textId="77777777" w:rsidR="004E0312" w:rsidRDefault="004E0312" w:rsidP="00596EB7">
            <w:pPr>
              <w:rPr>
                <w:sz w:val="24"/>
                <w:szCs w:val="24"/>
              </w:rPr>
            </w:pPr>
          </w:p>
        </w:tc>
      </w:tr>
      <w:tr w:rsidR="004E0312" w14:paraId="03070777" w14:textId="77777777" w:rsidTr="001708A1">
        <w:trPr>
          <w:trHeight w:val="585"/>
        </w:trPr>
        <w:tc>
          <w:tcPr>
            <w:tcW w:w="1698" w:type="dxa"/>
            <w:vMerge/>
          </w:tcPr>
          <w:p w14:paraId="0D5AAE4C" w14:textId="77777777" w:rsidR="004E0312" w:rsidRDefault="004E0312" w:rsidP="004E0312">
            <w:pPr>
              <w:jc w:val="center"/>
              <w:rPr>
                <w:b/>
                <w:sz w:val="28"/>
                <w:szCs w:val="28"/>
              </w:rPr>
            </w:pPr>
          </w:p>
        </w:tc>
        <w:tc>
          <w:tcPr>
            <w:tcW w:w="1671" w:type="dxa"/>
          </w:tcPr>
          <w:p w14:paraId="6ADD3F4C" w14:textId="137ED426" w:rsidR="004E0312" w:rsidRDefault="004E0312" w:rsidP="004E0312">
            <w:pPr>
              <w:rPr>
                <w:sz w:val="24"/>
                <w:szCs w:val="24"/>
              </w:rPr>
            </w:pPr>
            <w:r>
              <w:rPr>
                <w:sz w:val="24"/>
                <w:szCs w:val="24"/>
              </w:rPr>
              <w:t>(e) (1)</w:t>
            </w:r>
          </w:p>
        </w:tc>
        <w:tc>
          <w:tcPr>
            <w:tcW w:w="3286" w:type="dxa"/>
          </w:tcPr>
          <w:p w14:paraId="44D22E76" w14:textId="0210E1C2" w:rsidR="004E0312" w:rsidRDefault="004E0312" w:rsidP="004E0312">
            <w:pPr>
              <w:rPr>
                <w:sz w:val="24"/>
                <w:szCs w:val="24"/>
              </w:rPr>
            </w:pPr>
            <w:r>
              <w:rPr>
                <w:sz w:val="24"/>
                <w:szCs w:val="24"/>
              </w:rPr>
              <w:t>If an individual was asked to provide broad consent for storage, maintenance, and secondary research use of identifiable private information or identifiable bio specimens and refused to consent, an IRB cannot waive consent.</w:t>
            </w:r>
          </w:p>
        </w:tc>
        <w:tc>
          <w:tcPr>
            <w:tcW w:w="2970" w:type="dxa"/>
          </w:tcPr>
          <w:p w14:paraId="4E4D356A" w14:textId="77777777" w:rsidR="004E0312" w:rsidRDefault="004E0312" w:rsidP="004E0312">
            <w:pPr>
              <w:rPr>
                <w:sz w:val="24"/>
                <w:szCs w:val="24"/>
              </w:rPr>
            </w:pPr>
          </w:p>
        </w:tc>
      </w:tr>
      <w:tr w:rsidR="004E0312" w14:paraId="04BE2135" w14:textId="77777777" w:rsidTr="001708A1">
        <w:trPr>
          <w:trHeight w:val="585"/>
        </w:trPr>
        <w:tc>
          <w:tcPr>
            <w:tcW w:w="1698" w:type="dxa"/>
            <w:vMerge/>
          </w:tcPr>
          <w:p w14:paraId="3FB61F8C" w14:textId="77777777" w:rsidR="004E0312" w:rsidRDefault="004E0312" w:rsidP="004E0312">
            <w:pPr>
              <w:jc w:val="center"/>
              <w:rPr>
                <w:b/>
                <w:sz w:val="28"/>
                <w:szCs w:val="28"/>
              </w:rPr>
            </w:pPr>
          </w:p>
        </w:tc>
        <w:tc>
          <w:tcPr>
            <w:tcW w:w="1671" w:type="dxa"/>
          </w:tcPr>
          <w:p w14:paraId="48E503FF" w14:textId="7CDE46A5" w:rsidR="004E0312" w:rsidRDefault="00807D03" w:rsidP="004E0312">
            <w:pPr>
              <w:rPr>
                <w:sz w:val="24"/>
                <w:szCs w:val="24"/>
              </w:rPr>
            </w:pPr>
            <w:r>
              <w:rPr>
                <w:sz w:val="24"/>
                <w:szCs w:val="24"/>
              </w:rPr>
              <w:t>(e) (2)</w:t>
            </w:r>
          </w:p>
        </w:tc>
        <w:tc>
          <w:tcPr>
            <w:tcW w:w="3286" w:type="dxa"/>
          </w:tcPr>
          <w:p w14:paraId="14D718B8" w14:textId="3462DAE9" w:rsidR="004E0312" w:rsidRDefault="00807D03" w:rsidP="00807D03">
            <w:pPr>
              <w:rPr>
                <w:sz w:val="24"/>
                <w:szCs w:val="24"/>
              </w:rPr>
            </w:pPr>
            <w:r>
              <w:rPr>
                <w:sz w:val="24"/>
                <w:szCs w:val="24"/>
              </w:rPr>
              <w:t xml:space="preserve">An IRB may approve a consent procedure that omits some, or alters some or all, of the elements of informed consent set forth in 46.116 (b) or (c) provided the IRB satisfies the requirements of 46.116 (e) (3).  </w:t>
            </w:r>
          </w:p>
        </w:tc>
        <w:tc>
          <w:tcPr>
            <w:tcW w:w="2970" w:type="dxa"/>
          </w:tcPr>
          <w:p w14:paraId="363BFCD2" w14:textId="38FA4FF6" w:rsidR="004E0312" w:rsidRDefault="00B03DBE" w:rsidP="004E0312">
            <w:pPr>
              <w:rPr>
                <w:sz w:val="24"/>
                <w:szCs w:val="24"/>
              </w:rPr>
            </w:pPr>
            <w:r>
              <w:rPr>
                <w:sz w:val="24"/>
                <w:szCs w:val="24"/>
              </w:rPr>
              <w:t>An IRB</w:t>
            </w:r>
            <w:r w:rsidR="00807D03">
              <w:rPr>
                <w:sz w:val="24"/>
                <w:szCs w:val="24"/>
              </w:rPr>
              <w:t xml:space="preserve"> may not omit or alter any of the requirements described in 46.116 (a).</w:t>
            </w:r>
          </w:p>
          <w:p w14:paraId="27E58B49" w14:textId="77777777" w:rsidR="00807D03" w:rsidRDefault="00807D03" w:rsidP="004E0312">
            <w:pPr>
              <w:rPr>
                <w:sz w:val="24"/>
                <w:szCs w:val="24"/>
              </w:rPr>
            </w:pPr>
          </w:p>
          <w:p w14:paraId="1ADBFE79" w14:textId="32B67032" w:rsidR="00807D03" w:rsidRDefault="00807D03" w:rsidP="004E0312">
            <w:pPr>
              <w:rPr>
                <w:sz w:val="24"/>
                <w:szCs w:val="24"/>
              </w:rPr>
            </w:pPr>
            <w:r>
              <w:rPr>
                <w:sz w:val="24"/>
                <w:szCs w:val="24"/>
              </w:rPr>
              <w:t>If a broad consent procedure is used, an IRB may not omit or alter any of the elements required under 46.116 (d).</w:t>
            </w:r>
          </w:p>
        </w:tc>
      </w:tr>
      <w:tr w:rsidR="00781802" w14:paraId="445D81E3" w14:textId="77777777" w:rsidTr="00781802">
        <w:trPr>
          <w:trHeight w:val="390"/>
        </w:trPr>
        <w:tc>
          <w:tcPr>
            <w:tcW w:w="1698" w:type="dxa"/>
            <w:vMerge w:val="restart"/>
          </w:tcPr>
          <w:p w14:paraId="3E72CAAD" w14:textId="77777777" w:rsidR="00781802" w:rsidRDefault="00781802" w:rsidP="004E0312">
            <w:pPr>
              <w:jc w:val="center"/>
              <w:rPr>
                <w:b/>
                <w:sz w:val="28"/>
                <w:szCs w:val="28"/>
              </w:rPr>
            </w:pPr>
          </w:p>
        </w:tc>
        <w:tc>
          <w:tcPr>
            <w:tcW w:w="1671" w:type="dxa"/>
          </w:tcPr>
          <w:p w14:paraId="54D633ED" w14:textId="7A134C27" w:rsidR="00781802" w:rsidRDefault="00781802" w:rsidP="004E0312">
            <w:pPr>
              <w:rPr>
                <w:sz w:val="24"/>
                <w:szCs w:val="24"/>
              </w:rPr>
            </w:pPr>
            <w:r>
              <w:rPr>
                <w:sz w:val="24"/>
                <w:szCs w:val="24"/>
              </w:rPr>
              <w:t>(e) (3)</w:t>
            </w:r>
          </w:p>
        </w:tc>
        <w:tc>
          <w:tcPr>
            <w:tcW w:w="3286" w:type="dxa"/>
          </w:tcPr>
          <w:p w14:paraId="3892FD37" w14:textId="4CC13F44" w:rsidR="00781802" w:rsidRDefault="00781802" w:rsidP="004E0312">
            <w:pPr>
              <w:rPr>
                <w:sz w:val="24"/>
                <w:szCs w:val="24"/>
              </w:rPr>
            </w:pPr>
            <w:r>
              <w:rPr>
                <w:sz w:val="24"/>
                <w:szCs w:val="24"/>
              </w:rPr>
              <w:t>In order for an IRB to waive or alter consent described in this subsection, the IRB must find and document that:</w:t>
            </w:r>
          </w:p>
        </w:tc>
        <w:tc>
          <w:tcPr>
            <w:tcW w:w="2970" w:type="dxa"/>
          </w:tcPr>
          <w:p w14:paraId="7A08F2F4" w14:textId="77777777" w:rsidR="00781802" w:rsidRDefault="00781802" w:rsidP="004E0312">
            <w:pPr>
              <w:rPr>
                <w:sz w:val="24"/>
                <w:szCs w:val="24"/>
              </w:rPr>
            </w:pPr>
          </w:p>
        </w:tc>
      </w:tr>
      <w:tr w:rsidR="00781802" w14:paraId="48949E39" w14:textId="77777777" w:rsidTr="001708A1">
        <w:trPr>
          <w:trHeight w:val="390"/>
        </w:trPr>
        <w:tc>
          <w:tcPr>
            <w:tcW w:w="1698" w:type="dxa"/>
            <w:vMerge/>
          </w:tcPr>
          <w:p w14:paraId="167FC2D9" w14:textId="77777777" w:rsidR="00781802" w:rsidRDefault="00781802" w:rsidP="004E0312">
            <w:pPr>
              <w:jc w:val="center"/>
              <w:rPr>
                <w:b/>
                <w:sz w:val="28"/>
                <w:szCs w:val="28"/>
              </w:rPr>
            </w:pPr>
          </w:p>
        </w:tc>
        <w:tc>
          <w:tcPr>
            <w:tcW w:w="1671" w:type="dxa"/>
          </w:tcPr>
          <w:p w14:paraId="3E62B7DA" w14:textId="08FD49F5" w:rsidR="00781802" w:rsidRDefault="00781802" w:rsidP="004E0312">
            <w:pPr>
              <w:rPr>
                <w:sz w:val="24"/>
                <w:szCs w:val="24"/>
              </w:rPr>
            </w:pPr>
            <w:r>
              <w:rPr>
                <w:sz w:val="24"/>
                <w:szCs w:val="24"/>
              </w:rPr>
              <w:t>(e) (3) (</w:t>
            </w:r>
            <w:proofErr w:type="spellStart"/>
            <w:r>
              <w:rPr>
                <w:sz w:val="24"/>
                <w:szCs w:val="24"/>
              </w:rPr>
              <w:t>i</w:t>
            </w:r>
            <w:proofErr w:type="spellEnd"/>
            <w:r>
              <w:rPr>
                <w:sz w:val="24"/>
                <w:szCs w:val="24"/>
              </w:rPr>
              <w:t>)</w:t>
            </w:r>
          </w:p>
        </w:tc>
        <w:tc>
          <w:tcPr>
            <w:tcW w:w="3286" w:type="dxa"/>
          </w:tcPr>
          <w:p w14:paraId="6C6CADDC" w14:textId="4C048D10" w:rsidR="00781802" w:rsidRDefault="00781802" w:rsidP="004E0312">
            <w:pPr>
              <w:rPr>
                <w:sz w:val="24"/>
                <w:szCs w:val="24"/>
              </w:rPr>
            </w:pPr>
            <w:r>
              <w:rPr>
                <w:sz w:val="24"/>
                <w:szCs w:val="24"/>
              </w:rPr>
              <w:t>The research or demonstration project is to be conducted by or subject to the approval of state or local government officials and is designed to study, evaluate, or otherwise examine:</w:t>
            </w:r>
          </w:p>
          <w:p w14:paraId="65A47401" w14:textId="11DA7471" w:rsidR="00781802" w:rsidRDefault="00781802" w:rsidP="00781802">
            <w:pPr>
              <w:pStyle w:val="ListParagraph"/>
              <w:numPr>
                <w:ilvl w:val="0"/>
                <w:numId w:val="35"/>
              </w:numPr>
              <w:rPr>
                <w:sz w:val="24"/>
                <w:szCs w:val="24"/>
              </w:rPr>
            </w:pPr>
            <w:r>
              <w:rPr>
                <w:sz w:val="24"/>
                <w:szCs w:val="24"/>
              </w:rPr>
              <w:t>Public benefit or service programs;</w:t>
            </w:r>
          </w:p>
          <w:p w14:paraId="04B1DA3D" w14:textId="293895A4" w:rsidR="00781802" w:rsidRDefault="00781802" w:rsidP="00781802">
            <w:pPr>
              <w:pStyle w:val="ListParagraph"/>
              <w:numPr>
                <w:ilvl w:val="0"/>
                <w:numId w:val="35"/>
              </w:numPr>
              <w:rPr>
                <w:sz w:val="24"/>
                <w:szCs w:val="24"/>
              </w:rPr>
            </w:pPr>
            <w:r>
              <w:rPr>
                <w:sz w:val="24"/>
                <w:szCs w:val="24"/>
              </w:rPr>
              <w:t>Procedures for obtaining benefits or services under those programs;</w:t>
            </w:r>
          </w:p>
          <w:p w14:paraId="71B0911E" w14:textId="3D265A71" w:rsidR="00781802" w:rsidRDefault="00781802" w:rsidP="00781802">
            <w:pPr>
              <w:pStyle w:val="ListParagraph"/>
              <w:numPr>
                <w:ilvl w:val="0"/>
                <w:numId w:val="35"/>
              </w:numPr>
              <w:rPr>
                <w:sz w:val="24"/>
                <w:szCs w:val="24"/>
              </w:rPr>
            </w:pPr>
            <w:r>
              <w:rPr>
                <w:sz w:val="24"/>
                <w:szCs w:val="24"/>
              </w:rPr>
              <w:t>Possible changes in or alternatives to those programs or procedures: or</w:t>
            </w:r>
          </w:p>
          <w:p w14:paraId="03688469" w14:textId="0B64AB07" w:rsidR="00781802" w:rsidRDefault="00781802" w:rsidP="00781802">
            <w:pPr>
              <w:pStyle w:val="ListParagraph"/>
              <w:numPr>
                <w:ilvl w:val="0"/>
                <w:numId w:val="35"/>
              </w:numPr>
              <w:rPr>
                <w:sz w:val="24"/>
                <w:szCs w:val="24"/>
              </w:rPr>
            </w:pPr>
            <w:r>
              <w:rPr>
                <w:sz w:val="24"/>
                <w:szCs w:val="24"/>
              </w:rPr>
              <w:t xml:space="preserve">Possible changes in methods or levels of </w:t>
            </w:r>
            <w:r>
              <w:rPr>
                <w:sz w:val="24"/>
                <w:szCs w:val="24"/>
              </w:rPr>
              <w:lastRenderedPageBreak/>
              <w:t xml:space="preserve">payment for benefits or services under those programs; </w:t>
            </w:r>
          </w:p>
          <w:p w14:paraId="3001E264" w14:textId="3AF32FD1" w:rsidR="00781802" w:rsidRPr="00781802" w:rsidRDefault="00781802" w:rsidP="00781802">
            <w:pPr>
              <w:pStyle w:val="ListParagraph"/>
              <w:rPr>
                <w:sz w:val="24"/>
                <w:szCs w:val="24"/>
              </w:rPr>
            </w:pPr>
            <w:r>
              <w:rPr>
                <w:sz w:val="24"/>
                <w:szCs w:val="24"/>
              </w:rPr>
              <w:t>AND</w:t>
            </w:r>
          </w:p>
          <w:p w14:paraId="6C3408CC" w14:textId="788DA12A" w:rsidR="00781802" w:rsidRDefault="00781802" w:rsidP="004E0312">
            <w:pPr>
              <w:rPr>
                <w:sz w:val="24"/>
                <w:szCs w:val="24"/>
              </w:rPr>
            </w:pPr>
          </w:p>
        </w:tc>
        <w:tc>
          <w:tcPr>
            <w:tcW w:w="2970" w:type="dxa"/>
          </w:tcPr>
          <w:p w14:paraId="23427BD0" w14:textId="77777777" w:rsidR="00781802" w:rsidRDefault="00781802" w:rsidP="004E0312">
            <w:pPr>
              <w:rPr>
                <w:sz w:val="24"/>
                <w:szCs w:val="24"/>
              </w:rPr>
            </w:pPr>
          </w:p>
        </w:tc>
      </w:tr>
      <w:tr w:rsidR="00781802" w14:paraId="5247400E" w14:textId="77777777" w:rsidTr="001708A1">
        <w:trPr>
          <w:trHeight w:val="390"/>
        </w:trPr>
        <w:tc>
          <w:tcPr>
            <w:tcW w:w="1698" w:type="dxa"/>
            <w:vMerge/>
          </w:tcPr>
          <w:p w14:paraId="0886CB60" w14:textId="77777777" w:rsidR="00781802" w:rsidRDefault="00781802" w:rsidP="004E0312">
            <w:pPr>
              <w:jc w:val="center"/>
              <w:rPr>
                <w:b/>
                <w:sz w:val="28"/>
                <w:szCs w:val="28"/>
              </w:rPr>
            </w:pPr>
          </w:p>
        </w:tc>
        <w:tc>
          <w:tcPr>
            <w:tcW w:w="1671" w:type="dxa"/>
          </w:tcPr>
          <w:p w14:paraId="3634CD1C" w14:textId="1BA46933" w:rsidR="00781802" w:rsidRDefault="00781802" w:rsidP="004E0312">
            <w:pPr>
              <w:rPr>
                <w:sz w:val="24"/>
                <w:szCs w:val="24"/>
              </w:rPr>
            </w:pPr>
            <w:r>
              <w:rPr>
                <w:sz w:val="24"/>
                <w:szCs w:val="24"/>
              </w:rPr>
              <w:t>(e) (3) (ii)</w:t>
            </w:r>
          </w:p>
        </w:tc>
        <w:tc>
          <w:tcPr>
            <w:tcW w:w="3286" w:type="dxa"/>
          </w:tcPr>
          <w:p w14:paraId="22AD7D98" w14:textId="6EEDDABB" w:rsidR="00781802" w:rsidRDefault="00781802" w:rsidP="004E0312">
            <w:pPr>
              <w:rPr>
                <w:sz w:val="24"/>
                <w:szCs w:val="24"/>
              </w:rPr>
            </w:pPr>
            <w:r>
              <w:rPr>
                <w:sz w:val="24"/>
                <w:szCs w:val="24"/>
              </w:rPr>
              <w:t>The research could not practicably be carried out without the waiver or alteration.</w:t>
            </w:r>
          </w:p>
        </w:tc>
        <w:tc>
          <w:tcPr>
            <w:tcW w:w="2970" w:type="dxa"/>
          </w:tcPr>
          <w:p w14:paraId="74B80290" w14:textId="77777777" w:rsidR="00781802" w:rsidRDefault="00781802" w:rsidP="004E0312">
            <w:pPr>
              <w:rPr>
                <w:sz w:val="24"/>
                <w:szCs w:val="24"/>
              </w:rPr>
            </w:pPr>
          </w:p>
        </w:tc>
      </w:tr>
      <w:tr w:rsidR="00781802" w14:paraId="0939D88F" w14:textId="77777777" w:rsidTr="001708A1">
        <w:trPr>
          <w:trHeight w:val="390"/>
        </w:trPr>
        <w:tc>
          <w:tcPr>
            <w:tcW w:w="1698" w:type="dxa"/>
          </w:tcPr>
          <w:p w14:paraId="4A517765" w14:textId="56A62E69" w:rsidR="00781802" w:rsidRDefault="001F0100" w:rsidP="004E0312">
            <w:pPr>
              <w:jc w:val="center"/>
              <w:rPr>
                <w:b/>
                <w:sz w:val="28"/>
                <w:szCs w:val="28"/>
              </w:rPr>
            </w:pPr>
            <w:r>
              <w:rPr>
                <w:b/>
                <w:sz w:val="28"/>
                <w:szCs w:val="28"/>
              </w:rPr>
              <w:t>46.116 (f)</w:t>
            </w:r>
          </w:p>
        </w:tc>
        <w:tc>
          <w:tcPr>
            <w:tcW w:w="1671" w:type="dxa"/>
          </w:tcPr>
          <w:p w14:paraId="325E3A3B" w14:textId="3CD19E81" w:rsidR="00781802" w:rsidRDefault="001F0100" w:rsidP="004E0312">
            <w:pPr>
              <w:rPr>
                <w:sz w:val="24"/>
                <w:szCs w:val="24"/>
              </w:rPr>
            </w:pPr>
            <w:r>
              <w:rPr>
                <w:sz w:val="24"/>
                <w:szCs w:val="24"/>
              </w:rPr>
              <w:t>(3)</w:t>
            </w:r>
          </w:p>
        </w:tc>
        <w:tc>
          <w:tcPr>
            <w:tcW w:w="3286" w:type="dxa"/>
          </w:tcPr>
          <w:p w14:paraId="09A49FE3" w14:textId="77777777" w:rsidR="00781802" w:rsidRDefault="001F0100" w:rsidP="004E0312">
            <w:pPr>
              <w:rPr>
                <w:sz w:val="24"/>
                <w:szCs w:val="24"/>
              </w:rPr>
            </w:pPr>
            <w:r>
              <w:rPr>
                <w:sz w:val="24"/>
                <w:szCs w:val="24"/>
              </w:rPr>
              <w:t>In order for an IRB to waive or alter consent, the IRB must find and document that:</w:t>
            </w:r>
          </w:p>
          <w:p w14:paraId="5D4F7B48" w14:textId="77777777" w:rsidR="001F0100" w:rsidRDefault="001F0100" w:rsidP="001F0100">
            <w:pPr>
              <w:pStyle w:val="ListParagraph"/>
              <w:numPr>
                <w:ilvl w:val="0"/>
                <w:numId w:val="36"/>
              </w:numPr>
              <w:rPr>
                <w:sz w:val="24"/>
                <w:szCs w:val="24"/>
              </w:rPr>
            </w:pPr>
            <w:r w:rsidRPr="001F0100">
              <w:rPr>
                <w:sz w:val="24"/>
                <w:szCs w:val="24"/>
              </w:rPr>
              <w:t>The research involves no mor</w:t>
            </w:r>
            <w:r>
              <w:rPr>
                <w:sz w:val="24"/>
                <w:szCs w:val="24"/>
              </w:rPr>
              <w:t>e than minimal risk to subjects;</w:t>
            </w:r>
          </w:p>
          <w:p w14:paraId="108F1C81" w14:textId="77777777" w:rsidR="001F0100" w:rsidRDefault="001F0100" w:rsidP="001F0100">
            <w:pPr>
              <w:pStyle w:val="ListParagraph"/>
              <w:numPr>
                <w:ilvl w:val="0"/>
                <w:numId w:val="36"/>
              </w:numPr>
              <w:rPr>
                <w:sz w:val="24"/>
                <w:szCs w:val="24"/>
              </w:rPr>
            </w:pPr>
            <w:r>
              <w:rPr>
                <w:sz w:val="24"/>
                <w:szCs w:val="24"/>
              </w:rPr>
              <w:t>The research could not practicably be carried out without the requested waiver or alteration;</w:t>
            </w:r>
          </w:p>
          <w:p w14:paraId="4DF937EB" w14:textId="77777777" w:rsidR="001F0100" w:rsidRDefault="001F0100" w:rsidP="001F0100">
            <w:pPr>
              <w:pStyle w:val="ListParagraph"/>
              <w:numPr>
                <w:ilvl w:val="0"/>
                <w:numId w:val="36"/>
              </w:numPr>
              <w:rPr>
                <w:sz w:val="24"/>
                <w:szCs w:val="24"/>
              </w:rPr>
            </w:pPr>
            <w:r>
              <w:rPr>
                <w:sz w:val="24"/>
                <w:szCs w:val="24"/>
              </w:rPr>
              <w:t>If the research involves using identifiable private information or identifiable bio specimens, the research could not practicably be carried out without using such information or bio specimens in an identifiable format;</w:t>
            </w:r>
          </w:p>
          <w:p w14:paraId="3BA42916" w14:textId="77777777" w:rsidR="001F0100" w:rsidRDefault="001F0100" w:rsidP="001F0100">
            <w:pPr>
              <w:pStyle w:val="ListParagraph"/>
              <w:numPr>
                <w:ilvl w:val="0"/>
                <w:numId w:val="36"/>
              </w:numPr>
              <w:rPr>
                <w:sz w:val="24"/>
                <w:szCs w:val="24"/>
              </w:rPr>
            </w:pPr>
            <w:r>
              <w:rPr>
                <w:sz w:val="24"/>
                <w:szCs w:val="24"/>
              </w:rPr>
              <w:t>The waiver or alteration will not adversely affect the rights and welfare of the subjects;</w:t>
            </w:r>
          </w:p>
          <w:p w14:paraId="02E3D05B" w14:textId="77777777" w:rsidR="001F0100" w:rsidRDefault="001F0100" w:rsidP="001F0100">
            <w:pPr>
              <w:pStyle w:val="ListParagraph"/>
              <w:rPr>
                <w:sz w:val="24"/>
                <w:szCs w:val="24"/>
              </w:rPr>
            </w:pPr>
            <w:r>
              <w:rPr>
                <w:sz w:val="24"/>
                <w:szCs w:val="24"/>
              </w:rPr>
              <w:t>AND</w:t>
            </w:r>
          </w:p>
          <w:p w14:paraId="63ECA96C" w14:textId="2BF5FCDF" w:rsidR="001F0100" w:rsidRPr="001F0100" w:rsidRDefault="008C41F0" w:rsidP="001F0100">
            <w:pPr>
              <w:pStyle w:val="ListParagraph"/>
              <w:numPr>
                <w:ilvl w:val="0"/>
                <w:numId w:val="36"/>
              </w:numPr>
              <w:rPr>
                <w:sz w:val="24"/>
                <w:szCs w:val="24"/>
              </w:rPr>
            </w:pPr>
            <w:r>
              <w:rPr>
                <w:sz w:val="24"/>
                <w:szCs w:val="24"/>
              </w:rPr>
              <w:t>Whenever appropriate, the subjects or LAR will be provided with additional pertinent information after participation.</w:t>
            </w:r>
          </w:p>
        </w:tc>
        <w:tc>
          <w:tcPr>
            <w:tcW w:w="2970" w:type="dxa"/>
          </w:tcPr>
          <w:p w14:paraId="092C72B9" w14:textId="77777777" w:rsidR="00781802" w:rsidRDefault="00781802" w:rsidP="004E0312">
            <w:pPr>
              <w:rPr>
                <w:sz w:val="24"/>
                <w:szCs w:val="24"/>
              </w:rPr>
            </w:pPr>
          </w:p>
        </w:tc>
      </w:tr>
      <w:tr w:rsidR="008C41F0" w14:paraId="5D91A77D" w14:textId="77777777" w:rsidTr="001708A1">
        <w:trPr>
          <w:trHeight w:val="390"/>
        </w:trPr>
        <w:tc>
          <w:tcPr>
            <w:tcW w:w="1698" w:type="dxa"/>
          </w:tcPr>
          <w:p w14:paraId="26E6307C" w14:textId="36532144" w:rsidR="008C41F0" w:rsidRDefault="004D0B94" w:rsidP="004E0312">
            <w:pPr>
              <w:jc w:val="center"/>
              <w:rPr>
                <w:b/>
                <w:sz w:val="28"/>
                <w:szCs w:val="28"/>
              </w:rPr>
            </w:pPr>
            <w:r>
              <w:rPr>
                <w:b/>
                <w:sz w:val="28"/>
                <w:szCs w:val="28"/>
              </w:rPr>
              <w:lastRenderedPageBreak/>
              <w:t>46.116 (g)</w:t>
            </w:r>
          </w:p>
        </w:tc>
        <w:tc>
          <w:tcPr>
            <w:tcW w:w="1671" w:type="dxa"/>
          </w:tcPr>
          <w:p w14:paraId="67DECABA" w14:textId="77777777" w:rsidR="008C41F0" w:rsidRDefault="008C41F0" w:rsidP="004E0312">
            <w:pPr>
              <w:rPr>
                <w:sz w:val="24"/>
                <w:szCs w:val="24"/>
              </w:rPr>
            </w:pPr>
          </w:p>
        </w:tc>
        <w:tc>
          <w:tcPr>
            <w:tcW w:w="3286" w:type="dxa"/>
          </w:tcPr>
          <w:p w14:paraId="3181DC2C" w14:textId="77777777" w:rsidR="008C41F0" w:rsidRDefault="004D0B94" w:rsidP="004E0312">
            <w:pPr>
              <w:rPr>
                <w:sz w:val="24"/>
                <w:szCs w:val="24"/>
              </w:rPr>
            </w:pPr>
            <w:r>
              <w:rPr>
                <w:sz w:val="24"/>
                <w:szCs w:val="24"/>
              </w:rPr>
              <w:t>An IRB may approve a research proposal in which an investigator will obtain information or bio specimens for the purpose of screening, recruiting, or determining the eligibility of prospective subjects without the informed consent , if either of the following conditions are met:</w:t>
            </w:r>
          </w:p>
          <w:p w14:paraId="1B604A79" w14:textId="6D951050" w:rsidR="004D0B94" w:rsidRDefault="004D0B94" w:rsidP="004D0B94">
            <w:pPr>
              <w:pStyle w:val="ListParagraph"/>
              <w:numPr>
                <w:ilvl w:val="0"/>
                <w:numId w:val="36"/>
              </w:numPr>
              <w:rPr>
                <w:sz w:val="24"/>
                <w:szCs w:val="24"/>
              </w:rPr>
            </w:pPr>
            <w:r>
              <w:rPr>
                <w:sz w:val="24"/>
                <w:szCs w:val="24"/>
              </w:rPr>
              <w:t xml:space="preserve">The investigator will obtain information </w:t>
            </w:r>
            <w:r w:rsidR="00E15D1C">
              <w:rPr>
                <w:sz w:val="24"/>
                <w:szCs w:val="24"/>
              </w:rPr>
              <w:t>through</w:t>
            </w:r>
            <w:r>
              <w:rPr>
                <w:sz w:val="24"/>
                <w:szCs w:val="24"/>
              </w:rPr>
              <w:t xml:space="preserve"> oral or written communication with the prospective subject or LAR</w:t>
            </w:r>
          </w:p>
          <w:p w14:paraId="5612662A" w14:textId="66F5E1B8" w:rsidR="004D0B94" w:rsidRDefault="004D0B94" w:rsidP="004D0B94">
            <w:pPr>
              <w:pStyle w:val="ListParagraph"/>
              <w:rPr>
                <w:sz w:val="24"/>
                <w:szCs w:val="24"/>
              </w:rPr>
            </w:pPr>
            <w:r>
              <w:rPr>
                <w:sz w:val="24"/>
                <w:szCs w:val="24"/>
              </w:rPr>
              <w:t>OR</w:t>
            </w:r>
          </w:p>
          <w:p w14:paraId="69143EEC" w14:textId="105AEB8C" w:rsidR="004D0B94" w:rsidRPr="004D0B94" w:rsidRDefault="004D0B94" w:rsidP="004D0B94">
            <w:pPr>
              <w:pStyle w:val="ListParagraph"/>
              <w:numPr>
                <w:ilvl w:val="0"/>
                <w:numId w:val="36"/>
              </w:numPr>
              <w:ind w:left="360"/>
              <w:rPr>
                <w:sz w:val="24"/>
                <w:szCs w:val="24"/>
              </w:rPr>
            </w:pPr>
            <w:r w:rsidRPr="004D0B94">
              <w:rPr>
                <w:sz w:val="24"/>
                <w:szCs w:val="24"/>
              </w:rPr>
              <w:t>The investigator will obtain identifiable private information or identifiable bio specimens by accessing records or stored identifiable bio specimens.</w:t>
            </w:r>
          </w:p>
        </w:tc>
        <w:tc>
          <w:tcPr>
            <w:tcW w:w="2970" w:type="dxa"/>
          </w:tcPr>
          <w:p w14:paraId="48BEDF84" w14:textId="153894C0" w:rsidR="008C41F0" w:rsidRDefault="004D0B94" w:rsidP="004E0312">
            <w:pPr>
              <w:rPr>
                <w:sz w:val="24"/>
                <w:szCs w:val="24"/>
              </w:rPr>
            </w:pPr>
            <w:r>
              <w:rPr>
                <w:sz w:val="24"/>
                <w:szCs w:val="24"/>
              </w:rPr>
              <w:t xml:space="preserve">This is </w:t>
            </w:r>
            <w:r w:rsidRPr="004D0B94">
              <w:rPr>
                <w:b/>
                <w:sz w:val="24"/>
                <w:szCs w:val="24"/>
              </w:rPr>
              <w:t>not a waiver</w:t>
            </w:r>
            <w:r>
              <w:rPr>
                <w:sz w:val="24"/>
                <w:szCs w:val="24"/>
              </w:rPr>
              <w:t xml:space="preserve"> of the consent requirement but rather an </w:t>
            </w:r>
            <w:r w:rsidRPr="004D0B94">
              <w:rPr>
                <w:b/>
                <w:sz w:val="24"/>
                <w:szCs w:val="24"/>
              </w:rPr>
              <w:t>exception</w:t>
            </w:r>
            <w:r>
              <w:rPr>
                <w:sz w:val="24"/>
                <w:szCs w:val="24"/>
              </w:rPr>
              <w:t xml:space="preserve"> to the requirement.</w:t>
            </w:r>
          </w:p>
        </w:tc>
      </w:tr>
      <w:tr w:rsidR="003949E1" w14:paraId="32DB1F50" w14:textId="77777777" w:rsidTr="000F52E2">
        <w:trPr>
          <w:trHeight w:val="195"/>
        </w:trPr>
        <w:tc>
          <w:tcPr>
            <w:tcW w:w="1698" w:type="dxa"/>
            <w:vMerge w:val="restart"/>
          </w:tcPr>
          <w:p w14:paraId="1159C292" w14:textId="2EB16C94" w:rsidR="003949E1" w:rsidRDefault="003949E1" w:rsidP="004E0312">
            <w:pPr>
              <w:jc w:val="center"/>
              <w:rPr>
                <w:b/>
                <w:sz w:val="28"/>
                <w:szCs w:val="28"/>
              </w:rPr>
            </w:pPr>
            <w:r>
              <w:rPr>
                <w:b/>
                <w:sz w:val="28"/>
                <w:szCs w:val="28"/>
              </w:rPr>
              <w:t>46.116 (h)</w:t>
            </w:r>
          </w:p>
        </w:tc>
        <w:tc>
          <w:tcPr>
            <w:tcW w:w="1671" w:type="dxa"/>
          </w:tcPr>
          <w:p w14:paraId="3B8A0CB8" w14:textId="77777777" w:rsidR="003949E1" w:rsidRDefault="003949E1" w:rsidP="004E0312">
            <w:pPr>
              <w:rPr>
                <w:sz w:val="24"/>
                <w:szCs w:val="24"/>
              </w:rPr>
            </w:pPr>
          </w:p>
        </w:tc>
        <w:tc>
          <w:tcPr>
            <w:tcW w:w="3286" w:type="dxa"/>
          </w:tcPr>
          <w:p w14:paraId="3A16B2BB" w14:textId="67C46D22" w:rsidR="003949E1" w:rsidRPr="00553CB3" w:rsidRDefault="003949E1" w:rsidP="004E0312">
            <w:pPr>
              <w:rPr>
                <w:b/>
                <w:sz w:val="24"/>
                <w:szCs w:val="24"/>
              </w:rPr>
            </w:pPr>
            <w:r w:rsidRPr="00553CB3">
              <w:rPr>
                <w:b/>
                <w:sz w:val="24"/>
                <w:szCs w:val="24"/>
              </w:rPr>
              <w:t>Posting of Clinical Trial Consent Form</w:t>
            </w:r>
          </w:p>
        </w:tc>
        <w:tc>
          <w:tcPr>
            <w:tcW w:w="2970" w:type="dxa"/>
          </w:tcPr>
          <w:p w14:paraId="13D37924" w14:textId="77777777" w:rsidR="003949E1" w:rsidRDefault="003949E1" w:rsidP="004E0312">
            <w:pPr>
              <w:rPr>
                <w:sz w:val="24"/>
                <w:szCs w:val="24"/>
              </w:rPr>
            </w:pPr>
          </w:p>
        </w:tc>
      </w:tr>
      <w:tr w:rsidR="003949E1" w14:paraId="13FAFF7F" w14:textId="77777777" w:rsidTr="001708A1">
        <w:trPr>
          <w:trHeight w:val="195"/>
        </w:trPr>
        <w:tc>
          <w:tcPr>
            <w:tcW w:w="1698" w:type="dxa"/>
            <w:vMerge/>
          </w:tcPr>
          <w:p w14:paraId="6D12BCA8" w14:textId="77777777" w:rsidR="003949E1" w:rsidRDefault="003949E1" w:rsidP="004E0312">
            <w:pPr>
              <w:jc w:val="center"/>
              <w:rPr>
                <w:b/>
                <w:sz w:val="28"/>
                <w:szCs w:val="28"/>
              </w:rPr>
            </w:pPr>
          </w:p>
        </w:tc>
        <w:tc>
          <w:tcPr>
            <w:tcW w:w="1671" w:type="dxa"/>
          </w:tcPr>
          <w:p w14:paraId="02DC6F32" w14:textId="459CC4C9" w:rsidR="003949E1" w:rsidRDefault="003949E1" w:rsidP="004E0312">
            <w:pPr>
              <w:rPr>
                <w:sz w:val="24"/>
                <w:szCs w:val="24"/>
              </w:rPr>
            </w:pPr>
            <w:r>
              <w:rPr>
                <w:sz w:val="24"/>
                <w:szCs w:val="24"/>
              </w:rPr>
              <w:t>(h) (1)</w:t>
            </w:r>
          </w:p>
        </w:tc>
        <w:tc>
          <w:tcPr>
            <w:tcW w:w="3286" w:type="dxa"/>
          </w:tcPr>
          <w:p w14:paraId="5DA295DF" w14:textId="70086B26" w:rsidR="003949E1" w:rsidRDefault="003949E1" w:rsidP="004E0312">
            <w:pPr>
              <w:rPr>
                <w:sz w:val="24"/>
                <w:szCs w:val="24"/>
              </w:rPr>
            </w:pPr>
            <w:r>
              <w:rPr>
                <w:sz w:val="24"/>
                <w:szCs w:val="24"/>
              </w:rPr>
              <w:t>For each clinical trial conducted or supported by a Federal department or agency, one IRB-approved informed consent form used to enroll subjects must be posted by the awardee or the Federal department or agency component conducting the trial on a publicly available Federal website that will be established as a repository for such informed consent forms.</w:t>
            </w:r>
          </w:p>
        </w:tc>
        <w:tc>
          <w:tcPr>
            <w:tcW w:w="2970" w:type="dxa"/>
          </w:tcPr>
          <w:p w14:paraId="415C7B82" w14:textId="6CE86BBB" w:rsidR="003949E1" w:rsidRDefault="003949E1" w:rsidP="004E0312">
            <w:pPr>
              <w:rPr>
                <w:sz w:val="24"/>
                <w:szCs w:val="24"/>
              </w:rPr>
            </w:pPr>
            <w:r>
              <w:rPr>
                <w:sz w:val="24"/>
                <w:szCs w:val="24"/>
              </w:rPr>
              <w:t>New subsection.</w:t>
            </w:r>
          </w:p>
        </w:tc>
      </w:tr>
      <w:tr w:rsidR="003949E1" w14:paraId="07EE2353" w14:textId="77777777" w:rsidTr="00341A02">
        <w:trPr>
          <w:trHeight w:val="1170"/>
        </w:trPr>
        <w:tc>
          <w:tcPr>
            <w:tcW w:w="1698" w:type="dxa"/>
            <w:vMerge/>
          </w:tcPr>
          <w:p w14:paraId="1F2879BD" w14:textId="77777777" w:rsidR="003949E1" w:rsidRDefault="003949E1" w:rsidP="004E0312">
            <w:pPr>
              <w:jc w:val="center"/>
              <w:rPr>
                <w:b/>
                <w:sz w:val="28"/>
                <w:szCs w:val="28"/>
              </w:rPr>
            </w:pPr>
          </w:p>
        </w:tc>
        <w:tc>
          <w:tcPr>
            <w:tcW w:w="1671" w:type="dxa"/>
          </w:tcPr>
          <w:p w14:paraId="6ED30FE3" w14:textId="6DB57727" w:rsidR="003949E1" w:rsidRDefault="003949E1" w:rsidP="004E0312">
            <w:pPr>
              <w:rPr>
                <w:sz w:val="24"/>
                <w:szCs w:val="24"/>
              </w:rPr>
            </w:pPr>
            <w:r>
              <w:rPr>
                <w:sz w:val="24"/>
                <w:szCs w:val="24"/>
              </w:rPr>
              <w:t>(h) (2)</w:t>
            </w:r>
          </w:p>
        </w:tc>
        <w:tc>
          <w:tcPr>
            <w:tcW w:w="3286" w:type="dxa"/>
          </w:tcPr>
          <w:p w14:paraId="32157B91" w14:textId="1034BCBF" w:rsidR="003949E1" w:rsidRDefault="003949E1" w:rsidP="004E0312">
            <w:pPr>
              <w:rPr>
                <w:sz w:val="24"/>
                <w:szCs w:val="24"/>
              </w:rPr>
            </w:pPr>
            <w:r>
              <w:rPr>
                <w:sz w:val="24"/>
                <w:szCs w:val="24"/>
              </w:rPr>
              <w:t xml:space="preserve">If the Federal department or agency supporting or conducting the clinical trial determines that certain information should not be </w:t>
            </w:r>
            <w:r>
              <w:rPr>
                <w:sz w:val="24"/>
                <w:szCs w:val="24"/>
              </w:rPr>
              <w:lastRenderedPageBreak/>
              <w:t>made publicly available on a Federal website (e.g. confidential commercial information), such Federal department or agency may permit or require redactions to the information posted.</w:t>
            </w:r>
          </w:p>
        </w:tc>
        <w:tc>
          <w:tcPr>
            <w:tcW w:w="2970" w:type="dxa"/>
          </w:tcPr>
          <w:p w14:paraId="7D322624" w14:textId="7EBC11D7" w:rsidR="003949E1" w:rsidRDefault="003949E1" w:rsidP="004E0312">
            <w:pPr>
              <w:rPr>
                <w:sz w:val="24"/>
                <w:szCs w:val="24"/>
              </w:rPr>
            </w:pPr>
            <w:r>
              <w:rPr>
                <w:sz w:val="24"/>
                <w:szCs w:val="24"/>
              </w:rPr>
              <w:lastRenderedPageBreak/>
              <w:t>New subsection.</w:t>
            </w:r>
          </w:p>
        </w:tc>
      </w:tr>
      <w:tr w:rsidR="003949E1" w14:paraId="1350848F" w14:textId="77777777" w:rsidTr="001708A1">
        <w:trPr>
          <w:trHeight w:val="1170"/>
        </w:trPr>
        <w:tc>
          <w:tcPr>
            <w:tcW w:w="1698" w:type="dxa"/>
            <w:vMerge/>
          </w:tcPr>
          <w:p w14:paraId="73947C1F" w14:textId="77777777" w:rsidR="003949E1" w:rsidRDefault="003949E1" w:rsidP="004E0312">
            <w:pPr>
              <w:jc w:val="center"/>
              <w:rPr>
                <w:b/>
                <w:sz w:val="28"/>
                <w:szCs w:val="28"/>
              </w:rPr>
            </w:pPr>
          </w:p>
        </w:tc>
        <w:tc>
          <w:tcPr>
            <w:tcW w:w="1671" w:type="dxa"/>
          </w:tcPr>
          <w:p w14:paraId="226A9FA2" w14:textId="187F8DF0" w:rsidR="003949E1" w:rsidRDefault="003949E1" w:rsidP="004E0312">
            <w:pPr>
              <w:rPr>
                <w:sz w:val="24"/>
                <w:szCs w:val="24"/>
              </w:rPr>
            </w:pPr>
            <w:r>
              <w:rPr>
                <w:sz w:val="24"/>
                <w:szCs w:val="24"/>
              </w:rPr>
              <w:t>(h) (3)</w:t>
            </w:r>
          </w:p>
        </w:tc>
        <w:tc>
          <w:tcPr>
            <w:tcW w:w="3286" w:type="dxa"/>
          </w:tcPr>
          <w:p w14:paraId="6F7AD2C1" w14:textId="373D4B2E" w:rsidR="003949E1" w:rsidRDefault="003949E1" w:rsidP="004E0312">
            <w:pPr>
              <w:rPr>
                <w:sz w:val="24"/>
                <w:szCs w:val="24"/>
              </w:rPr>
            </w:pPr>
            <w:r>
              <w:rPr>
                <w:sz w:val="24"/>
                <w:szCs w:val="24"/>
              </w:rPr>
              <w:t>The informed consent form must be posted on the Federal website after the clinical trial is closed to recruitment, and no later than 60 days after the last study visit by any subject, as required by the protocol.</w:t>
            </w:r>
          </w:p>
        </w:tc>
        <w:tc>
          <w:tcPr>
            <w:tcW w:w="2970" w:type="dxa"/>
          </w:tcPr>
          <w:p w14:paraId="55F42C33" w14:textId="41FA9402" w:rsidR="003949E1" w:rsidRDefault="003949E1" w:rsidP="004E0312">
            <w:pPr>
              <w:rPr>
                <w:sz w:val="24"/>
                <w:szCs w:val="24"/>
              </w:rPr>
            </w:pPr>
            <w:r>
              <w:rPr>
                <w:sz w:val="24"/>
                <w:szCs w:val="24"/>
              </w:rPr>
              <w:t>New subsection.</w:t>
            </w:r>
          </w:p>
        </w:tc>
      </w:tr>
      <w:tr w:rsidR="003949E1" w14:paraId="58F1D14E" w14:textId="77777777" w:rsidTr="003949E1">
        <w:trPr>
          <w:trHeight w:val="1160"/>
        </w:trPr>
        <w:tc>
          <w:tcPr>
            <w:tcW w:w="1698" w:type="dxa"/>
            <w:vMerge/>
          </w:tcPr>
          <w:p w14:paraId="12FA283C" w14:textId="77777777" w:rsidR="003949E1" w:rsidRDefault="003949E1" w:rsidP="004E0312">
            <w:pPr>
              <w:jc w:val="center"/>
              <w:rPr>
                <w:b/>
                <w:sz w:val="28"/>
                <w:szCs w:val="28"/>
              </w:rPr>
            </w:pPr>
          </w:p>
        </w:tc>
        <w:tc>
          <w:tcPr>
            <w:tcW w:w="1671" w:type="dxa"/>
          </w:tcPr>
          <w:p w14:paraId="21E647D0" w14:textId="1904BA53" w:rsidR="003949E1" w:rsidRDefault="003949E1" w:rsidP="004E0312">
            <w:pPr>
              <w:rPr>
                <w:sz w:val="24"/>
                <w:szCs w:val="24"/>
              </w:rPr>
            </w:pPr>
            <w:r>
              <w:rPr>
                <w:sz w:val="24"/>
                <w:szCs w:val="24"/>
              </w:rPr>
              <w:t>(</w:t>
            </w:r>
            <w:proofErr w:type="spellStart"/>
            <w:r>
              <w:rPr>
                <w:sz w:val="24"/>
                <w:szCs w:val="24"/>
              </w:rPr>
              <w:t>i</w:t>
            </w:r>
            <w:proofErr w:type="spellEnd"/>
            <w:r>
              <w:rPr>
                <w:sz w:val="24"/>
                <w:szCs w:val="24"/>
              </w:rPr>
              <w:t>)</w:t>
            </w:r>
          </w:p>
        </w:tc>
        <w:tc>
          <w:tcPr>
            <w:tcW w:w="3286" w:type="dxa"/>
          </w:tcPr>
          <w:p w14:paraId="1A5DAB04" w14:textId="2ED5B12D" w:rsidR="003949E1" w:rsidRDefault="003949E1" w:rsidP="004E0312">
            <w:pPr>
              <w:rPr>
                <w:sz w:val="24"/>
                <w:szCs w:val="24"/>
              </w:rPr>
            </w:pPr>
            <w:r>
              <w:rPr>
                <w:sz w:val="24"/>
                <w:szCs w:val="24"/>
              </w:rPr>
              <w:t>The informed consent requirements in this policy are not intended to preempt any applicable Federal, state, or local laws (including tribal laws passed by the official governing body of an American Indian or Alaska Native tribe) that require additional information to be disclosed in order for informed consent to be legally effective.</w:t>
            </w:r>
          </w:p>
        </w:tc>
        <w:tc>
          <w:tcPr>
            <w:tcW w:w="2970" w:type="dxa"/>
          </w:tcPr>
          <w:p w14:paraId="167671A0" w14:textId="60EA5806" w:rsidR="003949E1" w:rsidRDefault="003949E1" w:rsidP="004E0312">
            <w:pPr>
              <w:rPr>
                <w:sz w:val="24"/>
                <w:szCs w:val="24"/>
              </w:rPr>
            </w:pPr>
            <w:r>
              <w:rPr>
                <w:sz w:val="24"/>
                <w:szCs w:val="24"/>
              </w:rPr>
              <w:t>This section was renumbered and clarified, but otherwise unchanged.</w:t>
            </w:r>
          </w:p>
        </w:tc>
      </w:tr>
      <w:tr w:rsidR="003949E1" w14:paraId="65807A0D" w14:textId="77777777" w:rsidTr="001708A1">
        <w:trPr>
          <w:trHeight w:val="1755"/>
        </w:trPr>
        <w:tc>
          <w:tcPr>
            <w:tcW w:w="1698" w:type="dxa"/>
            <w:vMerge/>
          </w:tcPr>
          <w:p w14:paraId="0631CF50" w14:textId="77777777" w:rsidR="003949E1" w:rsidRDefault="003949E1" w:rsidP="004E0312">
            <w:pPr>
              <w:jc w:val="center"/>
              <w:rPr>
                <w:b/>
                <w:sz w:val="28"/>
                <w:szCs w:val="28"/>
              </w:rPr>
            </w:pPr>
          </w:p>
        </w:tc>
        <w:tc>
          <w:tcPr>
            <w:tcW w:w="1671" w:type="dxa"/>
          </w:tcPr>
          <w:p w14:paraId="3FEAE257" w14:textId="2D1EA4F1" w:rsidR="003949E1" w:rsidRDefault="003949E1" w:rsidP="004E0312">
            <w:pPr>
              <w:rPr>
                <w:sz w:val="24"/>
                <w:szCs w:val="24"/>
              </w:rPr>
            </w:pPr>
            <w:r>
              <w:rPr>
                <w:sz w:val="24"/>
                <w:szCs w:val="24"/>
              </w:rPr>
              <w:t>(j)</w:t>
            </w:r>
          </w:p>
        </w:tc>
        <w:tc>
          <w:tcPr>
            <w:tcW w:w="3286" w:type="dxa"/>
          </w:tcPr>
          <w:p w14:paraId="30F9F8E0" w14:textId="4D3BBE42" w:rsidR="003949E1" w:rsidRDefault="003949E1" w:rsidP="004E0312">
            <w:pPr>
              <w:rPr>
                <w:sz w:val="24"/>
                <w:szCs w:val="24"/>
              </w:rPr>
            </w:pPr>
            <w:r>
              <w:rPr>
                <w:sz w:val="24"/>
                <w:szCs w:val="24"/>
              </w:rPr>
              <w:t>Nothing in this policy is intended to limit the authority of a physician to provide emergency medical care, to the extent the physician is permitted to do so under applicable federal, state, or local law (including tribal law passed by the official governing body of an American Indian or Alaska Native tribe).</w:t>
            </w:r>
          </w:p>
        </w:tc>
        <w:tc>
          <w:tcPr>
            <w:tcW w:w="2970" w:type="dxa"/>
          </w:tcPr>
          <w:p w14:paraId="00CD77FB" w14:textId="77777777" w:rsidR="003949E1" w:rsidRDefault="003949E1" w:rsidP="004E0312">
            <w:pPr>
              <w:rPr>
                <w:sz w:val="24"/>
                <w:szCs w:val="24"/>
              </w:rPr>
            </w:pPr>
          </w:p>
        </w:tc>
      </w:tr>
      <w:tr w:rsidR="003949E1" w14:paraId="402CB02E" w14:textId="77777777" w:rsidTr="001708A1">
        <w:trPr>
          <w:trHeight w:val="1755"/>
        </w:trPr>
        <w:tc>
          <w:tcPr>
            <w:tcW w:w="1698" w:type="dxa"/>
          </w:tcPr>
          <w:p w14:paraId="7787330B" w14:textId="6A550C52" w:rsidR="003949E1" w:rsidRDefault="009815F8" w:rsidP="004E0312">
            <w:pPr>
              <w:jc w:val="center"/>
              <w:rPr>
                <w:b/>
                <w:sz w:val="28"/>
                <w:szCs w:val="28"/>
              </w:rPr>
            </w:pPr>
            <w:r>
              <w:rPr>
                <w:b/>
                <w:sz w:val="28"/>
                <w:szCs w:val="28"/>
              </w:rPr>
              <w:t>46.117</w:t>
            </w:r>
            <w:r w:rsidR="007C0A9D">
              <w:rPr>
                <w:b/>
                <w:sz w:val="28"/>
                <w:szCs w:val="28"/>
              </w:rPr>
              <w:t>(a)</w:t>
            </w:r>
          </w:p>
        </w:tc>
        <w:tc>
          <w:tcPr>
            <w:tcW w:w="1671" w:type="dxa"/>
          </w:tcPr>
          <w:p w14:paraId="18BE1227" w14:textId="77777777" w:rsidR="003949E1" w:rsidRDefault="003949E1" w:rsidP="004E0312">
            <w:pPr>
              <w:rPr>
                <w:sz w:val="24"/>
                <w:szCs w:val="24"/>
              </w:rPr>
            </w:pPr>
          </w:p>
        </w:tc>
        <w:tc>
          <w:tcPr>
            <w:tcW w:w="3286" w:type="dxa"/>
          </w:tcPr>
          <w:p w14:paraId="4ECB1E09" w14:textId="1068BCFB" w:rsidR="003949E1" w:rsidRDefault="007C0A9D" w:rsidP="004E0312">
            <w:pPr>
              <w:rPr>
                <w:sz w:val="24"/>
                <w:szCs w:val="24"/>
              </w:rPr>
            </w:pPr>
            <w:r>
              <w:rPr>
                <w:sz w:val="24"/>
                <w:szCs w:val="24"/>
              </w:rPr>
              <w:t xml:space="preserve">Except as provided in paragraph (c) of this section, informed consent shall be documented by the use of a written informed consent form approved by the IRB and </w:t>
            </w:r>
            <w:r>
              <w:rPr>
                <w:sz w:val="24"/>
                <w:szCs w:val="24"/>
              </w:rPr>
              <w:lastRenderedPageBreak/>
              <w:t xml:space="preserve">signed (including in an electronic form) by the subject or the subject’s LAR.  A written copy shall be given to the person </w:t>
            </w:r>
            <w:proofErr w:type="gramStart"/>
            <w:r>
              <w:rPr>
                <w:sz w:val="24"/>
                <w:szCs w:val="24"/>
              </w:rPr>
              <w:t>signing  the</w:t>
            </w:r>
            <w:proofErr w:type="gramEnd"/>
            <w:r>
              <w:rPr>
                <w:sz w:val="24"/>
                <w:szCs w:val="24"/>
              </w:rPr>
              <w:t xml:space="preserve"> informed consent form.</w:t>
            </w:r>
          </w:p>
        </w:tc>
        <w:tc>
          <w:tcPr>
            <w:tcW w:w="2970" w:type="dxa"/>
          </w:tcPr>
          <w:p w14:paraId="614C1E21" w14:textId="682677A8" w:rsidR="003949E1" w:rsidRDefault="007C0A9D" w:rsidP="004E0312">
            <w:pPr>
              <w:rPr>
                <w:sz w:val="24"/>
                <w:szCs w:val="24"/>
              </w:rPr>
            </w:pPr>
            <w:r>
              <w:rPr>
                <w:sz w:val="24"/>
                <w:szCs w:val="24"/>
              </w:rPr>
              <w:lastRenderedPageBreak/>
              <w:t>Specifically allows electronic signatures, but otherwise unchanged.</w:t>
            </w:r>
          </w:p>
        </w:tc>
      </w:tr>
      <w:tr w:rsidR="00D17EEF" w14:paraId="007ACE1E" w14:textId="77777777" w:rsidTr="00D17EEF">
        <w:trPr>
          <w:trHeight w:val="585"/>
        </w:trPr>
        <w:tc>
          <w:tcPr>
            <w:tcW w:w="1698" w:type="dxa"/>
            <w:vMerge w:val="restart"/>
          </w:tcPr>
          <w:p w14:paraId="1FA0CFBE" w14:textId="4969C2EF" w:rsidR="00D17EEF" w:rsidRDefault="00D17EEF" w:rsidP="004E0312">
            <w:pPr>
              <w:jc w:val="center"/>
              <w:rPr>
                <w:b/>
                <w:sz w:val="28"/>
                <w:szCs w:val="28"/>
              </w:rPr>
            </w:pPr>
            <w:r>
              <w:rPr>
                <w:b/>
                <w:sz w:val="28"/>
                <w:szCs w:val="28"/>
              </w:rPr>
              <w:t>46.117 (b)</w:t>
            </w:r>
          </w:p>
        </w:tc>
        <w:tc>
          <w:tcPr>
            <w:tcW w:w="1671" w:type="dxa"/>
          </w:tcPr>
          <w:p w14:paraId="774E790C" w14:textId="77777777" w:rsidR="00D17EEF" w:rsidRDefault="00D17EEF" w:rsidP="004E0312">
            <w:pPr>
              <w:rPr>
                <w:sz w:val="24"/>
                <w:szCs w:val="24"/>
              </w:rPr>
            </w:pPr>
          </w:p>
        </w:tc>
        <w:tc>
          <w:tcPr>
            <w:tcW w:w="3286" w:type="dxa"/>
          </w:tcPr>
          <w:p w14:paraId="1886B713" w14:textId="44761207" w:rsidR="00D17EEF" w:rsidRDefault="00D17EEF" w:rsidP="004E0312">
            <w:pPr>
              <w:rPr>
                <w:sz w:val="24"/>
                <w:szCs w:val="24"/>
              </w:rPr>
            </w:pPr>
            <w:r>
              <w:rPr>
                <w:sz w:val="24"/>
                <w:szCs w:val="24"/>
              </w:rPr>
              <w:t>Except as provided in paragraph (c) of this section, the informed consent form may be either of the following:</w:t>
            </w:r>
          </w:p>
        </w:tc>
        <w:tc>
          <w:tcPr>
            <w:tcW w:w="2970" w:type="dxa"/>
          </w:tcPr>
          <w:p w14:paraId="032A152B" w14:textId="2D2EDF56" w:rsidR="00D17EEF" w:rsidRDefault="00D17EEF" w:rsidP="004E0312">
            <w:pPr>
              <w:rPr>
                <w:sz w:val="24"/>
                <w:szCs w:val="24"/>
              </w:rPr>
            </w:pPr>
            <w:r>
              <w:rPr>
                <w:sz w:val="24"/>
                <w:szCs w:val="24"/>
              </w:rPr>
              <w:t>This section remains unchanged.</w:t>
            </w:r>
          </w:p>
        </w:tc>
      </w:tr>
      <w:tr w:rsidR="00D17EEF" w14:paraId="1BE121C9" w14:textId="77777777" w:rsidTr="001708A1">
        <w:trPr>
          <w:trHeight w:val="585"/>
        </w:trPr>
        <w:tc>
          <w:tcPr>
            <w:tcW w:w="1698" w:type="dxa"/>
            <w:vMerge/>
          </w:tcPr>
          <w:p w14:paraId="47A272D8" w14:textId="77777777" w:rsidR="00D17EEF" w:rsidRDefault="00D17EEF" w:rsidP="004E0312">
            <w:pPr>
              <w:jc w:val="center"/>
              <w:rPr>
                <w:b/>
                <w:sz w:val="28"/>
                <w:szCs w:val="28"/>
              </w:rPr>
            </w:pPr>
          </w:p>
        </w:tc>
        <w:tc>
          <w:tcPr>
            <w:tcW w:w="1671" w:type="dxa"/>
          </w:tcPr>
          <w:p w14:paraId="3E1CB4F7" w14:textId="01EA2419" w:rsidR="00D17EEF" w:rsidRDefault="00D17EEF" w:rsidP="004E0312">
            <w:pPr>
              <w:rPr>
                <w:sz w:val="24"/>
                <w:szCs w:val="24"/>
              </w:rPr>
            </w:pPr>
            <w:r>
              <w:rPr>
                <w:sz w:val="24"/>
                <w:szCs w:val="24"/>
              </w:rPr>
              <w:t>(b) (1)</w:t>
            </w:r>
          </w:p>
        </w:tc>
        <w:tc>
          <w:tcPr>
            <w:tcW w:w="3286" w:type="dxa"/>
          </w:tcPr>
          <w:p w14:paraId="6E57422B" w14:textId="6562172F" w:rsidR="00D17EEF" w:rsidRDefault="00D17EEF" w:rsidP="004E0312">
            <w:pPr>
              <w:rPr>
                <w:sz w:val="24"/>
                <w:szCs w:val="24"/>
              </w:rPr>
            </w:pPr>
            <w:r>
              <w:rPr>
                <w:sz w:val="24"/>
                <w:szCs w:val="24"/>
              </w:rPr>
              <w:t>A written informed consent form that meets the requirements of section 46.116.  The investigator shall give either the subject or the LAR adequate opportunity to read the informed consent form before it is signed; alternatively, this form may be read to the subject or the subject’s LAR.</w:t>
            </w:r>
          </w:p>
        </w:tc>
        <w:tc>
          <w:tcPr>
            <w:tcW w:w="2970" w:type="dxa"/>
          </w:tcPr>
          <w:p w14:paraId="24924EAE" w14:textId="301A8B2B" w:rsidR="00D17EEF" w:rsidRDefault="00D17EEF" w:rsidP="004E0312">
            <w:pPr>
              <w:rPr>
                <w:sz w:val="24"/>
                <w:szCs w:val="24"/>
              </w:rPr>
            </w:pPr>
            <w:r>
              <w:rPr>
                <w:sz w:val="24"/>
                <w:szCs w:val="24"/>
              </w:rPr>
              <w:t>Reordered and clarified, but otherwise unchanged.</w:t>
            </w:r>
          </w:p>
        </w:tc>
      </w:tr>
      <w:tr w:rsidR="00553CB3" w14:paraId="17B276AC" w14:textId="77777777" w:rsidTr="00553CB3">
        <w:trPr>
          <w:trHeight w:val="1520"/>
        </w:trPr>
        <w:tc>
          <w:tcPr>
            <w:tcW w:w="1698" w:type="dxa"/>
            <w:vMerge w:val="restart"/>
          </w:tcPr>
          <w:p w14:paraId="3BFC7774" w14:textId="35568218" w:rsidR="00553CB3" w:rsidRDefault="00553CB3" w:rsidP="004E0312">
            <w:pPr>
              <w:jc w:val="center"/>
              <w:rPr>
                <w:b/>
                <w:sz w:val="28"/>
                <w:szCs w:val="28"/>
              </w:rPr>
            </w:pPr>
            <w:r>
              <w:rPr>
                <w:b/>
                <w:sz w:val="28"/>
                <w:szCs w:val="28"/>
              </w:rPr>
              <w:t xml:space="preserve">46.117 (c) </w:t>
            </w:r>
          </w:p>
        </w:tc>
        <w:tc>
          <w:tcPr>
            <w:tcW w:w="1671" w:type="dxa"/>
          </w:tcPr>
          <w:p w14:paraId="5F7F6B37" w14:textId="78B4A6F3" w:rsidR="00553CB3" w:rsidRDefault="00553CB3" w:rsidP="004E0312">
            <w:pPr>
              <w:rPr>
                <w:sz w:val="24"/>
                <w:szCs w:val="24"/>
              </w:rPr>
            </w:pPr>
            <w:r>
              <w:rPr>
                <w:sz w:val="24"/>
                <w:szCs w:val="24"/>
              </w:rPr>
              <w:t>(c) (1)</w:t>
            </w:r>
          </w:p>
        </w:tc>
        <w:tc>
          <w:tcPr>
            <w:tcW w:w="3286" w:type="dxa"/>
          </w:tcPr>
          <w:p w14:paraId="525B7AB4" w14:textId="77777777" w:rsidR="00553CB3" w:rsidRDefault="00553CB3" w:rsidP="00553CB3">
            <w:pPr>
              <w:rPr>
                <w:sz w:val="24"/>
                <w:szCs w:val="24"/>
              </w:rPr>
            </w:pPr>
            <w:r>
              <w:rPr>
                <w:sz w:val="24"/>
                <w:szCs w:val="24"/>
              </w:rPr>
              <w:t xml:space="preserve">An IRB may waive the requirement for the investigator to obtain a signed informed consent for some or all of the subjects if it finds </w:t>
            </w:r>
            <w:r w:rsidRPr="000949C4">
              <w:rPr>
                <w:b/>
                <w:sz w:val="24"/>
                <w:szCs w:val="24"/>
              </w:rPr>
              <w:t>any of the following</w:t>
            </w:r>
            <w:r>
              <w:rPr>
                <w:sz w:val="24"/>
                <w:szCs w:val="24"/>
              </w:rPr>
              <w:t>:</w:t>
            </w:r>
          </w:p>
          <w:p w14:paraId="490D8299" w14:textId="6A6F7EAC" w:rsidR="00553CB3" w:rsidRPr="00553CB3" w:rsidRDefault="00553CB3" w:rsidP="00553CB3">
            <w:pPr>
              <w:pStyle w:val="ListParagraph"/>
              <w:numPr>
                <w:ilvl w:val="0"/>
                <w:numId w:val="36"/>
              </w:numPr>
              <w:rPr>
                <w:sz w:val="24"/>
                <w:szCs w:val="24"/>
              </w:rPr>
            </w:pPr>
            <w:r w:rsidRPr="00553CB3">
              <w:rPr>
                <w:sz w:val="24"/>
                <w:szCs w:val="24"/>
              </w:rPr>
              <w:t xml:space="preserve">That the only record linking the subject and the research would be the informed consent form and the principal risk would be potential harm resulting from a breach of confidentiality.  Each subject or LAR will be asked whether the subject wants documentation linking the subject with the research, and the </w:t>
            </w:r>
            <w:r w:rsidRPr="00553CB3">
              <w:rPr>
                <w:sz w:val="24"/>
                <w:szCs w:val="24"/>
              </w:rPr>
              <w:lastRenderedPageBreak/>
              <w:t>subject’s wishes will govern;</w:t>
            </w:r>
          </w:p>
          <w:p w14:paraId="5EC06F6B" w14:textId="50C41407" w:rsidR="00553CB3" w:rsidRPr="00553CB3" w:rsidRDefault="00553CB3" w:rsidP="00553CB3">
            <w:pPr>
              <w:pStyle w:val="ListParagraph"/>
              <w:numPr>
                <w:ilvl w:val="0"/>
                <w:numId w:val="36"/>
              </w:numPr>
              <w:rPr>
                <w:sz w:val="24"/>
                <w:szCs w:val="24"/>
              </w:rPr>
            </w:pPr>
            <w:r w:rsidRPr="00553CB3">
              <w:rPr>
                <w:sz w:val="24"/>
                <w:szCs w:val="24"/>
              </w:rPr>
              <w:t>That the research presents no more than minimal risk of harm to subjects and involves no procedures for which written consent is normally required outside of the research context;</w:t>
            </w:r>
          </w:p>
          <w:p w14:paraId="1065A7B9" w14:textId="77777777" w:rsidR="00553CB3" w:rsidRDefault="00553CB3" w:rsidP="00553CB3">
            <w:pPr>
              <w:pStyle w:val="ListParagraph"/>
              <w:rPr>
                <w:sz w:val="24"/>
                <w:szCs w:val="24"/>
              </w:rPr>
            </w:pPr>
            <w:r w:rsidRPr="00553CB3">
              <w:rPr>
                <w:sz w:val="24"/>
                <w:szCs w:val="24"/>
              </w:rPr>
              <w:t>OR</w:t>
            </w:r>
          </w:p>
          <w:p w14:paraId="36410129" w14:textId="014003EF" w:rsidR="00553CB3" w:rsidRDefault="00553CB3" w:rsidP="00553CB3">
            <w:pPr>
              <w:pStyle w:val="ListParagraph"/>
              <w:numPr>
                <w:ilvl w:val="0"/>
                <w:numId w:val="36"/>
              </w:numPr>
              <w:rPr>
                <w:sz w:val="24"/>
                <w:szCs w:val="24"/>
              </w:rPr>
            </w:pPr>
            <w:r w:rsidRPr="00553CB3">
              <w:rPr>
                <w:sz w:val="24"/>
                <w:szCs w:val="24"/>
              </w:rPr>
              <w:t xml:space="preserve">If the subjects or LAR   are </w:t>
            </w:r>
            <w:r>
              <w:rPr>
                <w:sz w:val="24"/>
                <w:szCs w:val="24"/>
              </w:rPr>
              <w:t>members of a distinct cultural group or community in which signing forms is not the norm, that the research presents no more than minimal risk of harm to subjects and provided there is an appropriate alternative mechanism for documenting that informed consent was obtained.</w:t>
            </w:r>
          </w:p>
        </w:tc>
        <w:tc>
          <w:tcPr>
            <w:tcW w:w="2970" w:type="dxa"/>
          </w:tcPr>
          <w:p w14:paraId="76D6561C" w14:textId="77777777" w:rsidR="00553CB3" w:rsidRDefault="00553CB3" w:rsidP="0078599D">
            <w:pPr>
              <w:rPr>
                <w:sz w:val="24"/>
                <w:szCs w:val="24"/>
              </w:rPr>
            </w:pPr>
          </w:p>
        </w:tc>
      </w:tr>
      <w:tr w:rsidR="00553CB3" w14:paraId="620388E3" w14:textId="77777777" w:rsidTr="00553CB3">
        <w:trPr>
          <w:trHeight w:val="2150"/>
        </w:trPr>
        <w:tc>
          <w:tcPr>
            <w:tcW w:w="1698" w:type="dxa"/>
            <w:vMerge/>
          </w:tcPr>
          <w:p w14:paraId="15EFB620" w14:textId="77777777" w:rsidR="00553CB3" w:rsidRDefault="00553CB3" w:rsidP="004E0312">
            <w:pPr>
              <w:jc w:val="center"/>
              <w:rPr>
                <w:b/>
                <w:sz w:val="28"/>
                <w:szCs w:val="28"/>
              </w:rPr>
            </w:pPr>
          </w:p>
        </w:tc>
        <w:tc>
          <w:tcPr>
            <w:tcW w:w="1671" w:type="dxa"/>
          </w:tcPr>
          <w:p w14:paraId="282AA75E" w14:textId="5A0F9C5E" w:rsidR="00553CB3" w:rsidRDefault="00553CB3" w:rsidP="004E0312">
            <w:pPr>
              <w:rPr>
                <w:sz w:val="24"/>
                <w:szCs w:val="24"/>
              </w:rPr>
            </w:pPr>
            <w:r>
              <w:rPr>
                <w:sz w:val="24"/>
                <w:szCs w:val="24"/>
              </w:rPr>
              <w:t>(c) (2)</w:t>
            </w:r>
          </w:p>
        </w:tc>
        <w:tc>
          <w:tcPr>
            <w:tcW w:w="3286" w:type="dxa"/>
          </w:tcPr>
          <w:p w14:paraId="07638E67" w14:textId="3A45CF2D" w:rsidR="00553CB3" w:rsidRDefault="00553CB3" w:rsidP="00553CB3">
            <w:pPr>
              <w:rPr>
                <w:sz w:val="24"/>
                <w:szCs w:val="24"/>
              </w:rPr>
            </w:pPr>
            <w:r>
              <w:rPr>
                <w:sz w:val="24"/>
                <w:szCs w:val="24"/>
              </w:rPr>
              <w:t>In cases in which the documentation requirement is waived, the IRB may require the investigator to provide subjects or LARs with a written statement regarding the research.</w:t>
            </w:r>
          </w:p>
        </w:tc>
        <w:tc>
          <w:tcPr>
            <w:tcW w:w="2970" w:type="dxa"/>
          </w:tcPr>
          <w:p w14:paraId="115AC350" w14:textId="77777777" w:rsidR="00553CB3" w:rsidRDefault="00553CB3" w:rsidP="0078599D">
            <w:pPr>
              <w:rPr>
                <w:sz w:val="24"/>
                <w:szCs w:val="24"/>
              </w:rPr>
            </w:pPr>
          </w:p>
        </w:tc>
      </w:tr>
    </w:tbl>
    <w:p w14:paraId="5EA0C55C" w14:textId="48D787CA" w:rsidR="00AB209B" w:rsidRDefault="00B93D54" w:rsidP="00B93D54">
      <w:pPr>
        <w:jc w:val="center"/>
        <w:rPr>
          <w:b/>
          <w:sz w:val="28"/>
          <w:szCs w:val="28"/>
        </w:rPr>
      </w:pPr>
      <w:r w:rsidRPr="00B93D54">
        <w:rPr>
          <w:b/>
          <w:sz w:val="28"/>
          <w:szCs w:val="28"/>
        </w:rPr>
        <w:t>References</w:t>
      </w:r>
    </w:p>
    <w:p w14:paraId="07CEA279" w14:textId="77777777" w:rsidR="00B93D54" w:rsidRDefault="00B93D54" w:rsidP="00B93D54">
      <w:pPr>
        <w:pStyle w:val="ListParagraph"/>
        <w:numPr>
          <w:ilvl w:val="0"/>
          <w:numId w:val="36"/>
        </w:numPr>
        <w:rPr>
          <w:sz w:val="24"/>
          <w:szCs w:val="24"/>
        </w:rPr>
      </w:pPr>
      <w:r w:rsidRPr="00B93D54">
        <w:rPr>
          <w:sz w:val="24"/>
          <w:szCs w:val="24"/>
        </w:rPr>
        <w:t>Institutional Revie</w:t>
      </w:r>
      <w:r>
        <w:rPr>
          <w:sz w:val="24"/>
          <w:szCs w:val="24"/>
        </w:rPr>
        <w:t xml:space="preserve">w Boards, 21 CFR § 56 (2015). </w:t>
      </w:r>
    </w:p>
    <w:p w14:paraId="75602973" w14:textId="77777777" w:rsidR="00B93D54" w:rsidRDefault="00B93D54" w:rsidP="00B93D54">
      <w:pPr>
        <w:pStyle w:val="ListParagraph"/>
        <w:numPr>
          <w:ilvl w:val="0"/>
          <w:numId w:val="36"/>
        </w:numPr>
        <w:rPr>
          <w:sz w:val="24"/>
          <w:szCs w:val="24"/>
        </w:rPr>
      </w:pPr>
      <w:r w:rsidRPr="00B93D54">
        <w:rPr>
          <w:sz w:val="24"/>
          <w:szCs w:val="24"/>
        </w:rPr>
        <w:t>National Institutes of Health (NIH). 2016. “Final NIH Policy on the Use of a Single Institutional Review Board for Multi-Site Rese</w:t>
      </w:r>
      <w:r>
        <w:rPr>
          <w:sz w:val="24"/>
          <w:szCs w:val="24"/>
        </w:rPr>
        <w:t xml:space="preserve">arch.” Accessed September 30. </w:t>
      </w:r>
    </w:p>
    <w:p w14:paraId="76B7658D" w14:textId="77777777" w:rsidR="00B93D54" w:rsidRDefault="00B93D54" w:rsidP="00B93D54">
      <w:pPr>
        <w:pStyle w:val="ListParagraph"/>
        <w:numPr>
          <w:ilvl w:val="0"/>
          <w:numId w:val="36"/>
        </w:numPr>
        <w:rPr>
          <w:sz w:val="24"/>
          <w:szCs w:val="24"/>
        </w:rPr>
      </w:pPr>
      <w:r w:rsidRPr="00B93D54">
        <w:rPr>
          <w:sz w:val="24"/>
          <w:szCs w:val="24"/>
        </w:rPr>
        <w:t xml:space="preserve">Protection of Human </w:t>
      </w:r>
      <w:r>
        <w:rPr>
          <w:sz w:val="24"/>
          <w:szCs w:val="24"/>
        </w:rPr>
        <w:t>Subjects, 21 CFR § 50 (2015).</w:t>
      </w:r>
    </w:p>
    <w:p w14:paraId="5F04E2B3" w14:textId="77777777" w:rsidR="00B93D54" w:rsidRDefault="00B93D54" w:rsidP="00B93D54">
      <w:pPr>
        <w:pStyle w:val="ListParagraph"/>
        <w:numPr>
          <w:ilvl w:val="0"/>
          <w:numId w:val="36"/>
        </w:numPr>
        <w:rPr>
          <w:sz w:val="24"/>
          <w:szCs w:val="24"/>
        </w:rPr>
      </w:pPr>
      <w:r w:rsidRPr="00B93D54">
        <w:rPr>
          <w:sz w:val="24"/>
          <w:szCs w:val="24"/>
        </w:rPr>
        <w:t xml:space="preserve">U.S. Department of Health and Human Services (HHS). 2017. “Federal Policy for the Protection of Human Subjects.” Federal Register 82(12):7149-274. </w:t>
      </w:r>
    </w:p>
    <w:p w14:paraId="0F81262E" w14:textId="4BB31503" w:rsidR="00B93D54" w:rsidRDefault="00B93D54" w:rsidP="00B93D54">
      <w:pPr>
        <w:pStyle w:val="ListParagraph"/>
        <w:numPr>
          <w:ilvl w:val="0"/>
          <w:numId w:val="36"/>
        </w:numPr>
        <w:rPr>
          <w:sz w:val="24"/>
          <w:szCs w:val="24"/>
        </w:rPr>
      </w:pPr>
      <w:r w:rsidRPr="00B93D54">
        <w:rPr>
          <w:sz w:val="24"/>
          <w:szCs w:val="24"/>
        </w:rPr>
        <w:lastRenderedPageBreak/>
        <w:t>U.S. Department of Health and Human Services (HHS). 2018. “Federal Policy for the Protection of Human Subjects: Six Month Delay of the General Compliance Date of Revisions While Allowing the Use of Three Burden-Reducing Provisions During the Delay Period.” Federal Register 83(118):28497-520.</w:t>
      </w:r>
    </w:p>
    <w:p w14:paraId="62CDE699" w14:textId="77777777" w:rsidR="00F406E5" w:rsidRPr="00F406E5" w:rsidRDefault="00F406E5" w:rsidP="00F406E5">
      <w:pPr>
        <w:pStyle w:val="ListParagraph"/>
        <w:numPr>
          <w:ilvl w:val="0"/>
          <w:numId w:val="36"/>
        </w:numPr>
        <w:rPr>
          <w:rFonts w:cstheme="minorHAnsi"/>
          <w:color w:val="000000" w:themeColor="text1"/>
          <w:sz w:val="24"/>
          <w:szCs w:val="24"/>
        </w:rPr>
      </w:pPr>
      <w:r w:rsidRPr="00F406E5">
        <w:rPr>
          <w:rFonts w:cstheme="minorHAnsi"/>
          <w:color w:val="000000" w:themeColor="text1"/>
          <w:sz w:val="24"/>
          <w:szCs w:val="24"/>
        </w:rPr>
        <w:t xml:space="preserve">Chadwick, G. L. (2017). Final Rule Material: Comprehensive Guide to Informed Consent Changes. Retrieved January 10, 2019, from </w:t>
      </w:r>
      <w:hyperlink r:id="rId8" w:history="1">
        <w:r w:rsidRPr="00F406E5">
          <w:rPr>
            <w:rStyle w:val="Hyperlink"/>
            <w:rFonts w:cstheme="minorHAnsi"/>
            <w:color w:val="000000" w:themeColor="text1"/>
            <w:sz w:val="24"/>
            <w:szCs w:val="24"/>
          </w:rPr>
          <w:t>https://about.citiprogram.org/en/final-rule-resources/</w:t>
        </w:r>
      </w:hyperlink>
    </w:p>
    <w:p w14:paraId="3039F533" w14:textId="77777777" w:rsidR="00B93D54" w:rsidRPr="00F406E5" w:rsidRDefault="00B93D54" w:rsidP="00F406E5">
      <w:pPr>
        <w:pStyle w:val="ListParagraph"/>
        <w:rPr>
          <w:color w:val="000000" w:themeColor="text1"/>
          <w:sz w:val="24"/>
          <w:szCs w:val="24"/>
        </w:rPr>
      </w:pPr>
    </w:p>
    <w:sectPr w:rsidR="00B93D54" w:rsidRPr="00F406E5" w:rsidSect="00247D9F">
      <w:headerReference w:type="even" r:id="rId9"/>
      <w:headerReference w:type="default" r:id="rId10"/>
      <w:footerReference w:type="even" r:id="rId11"/>
      <w:footerReference w:type="default" r:id="rId12"/>
      <w:headerReference w:type="first" r:id="rId13"/>
      <w:footerReference w:type="first" r:id="rId14"/>
      <w:pgSz w:w="12240" w:h="15840"/>
      <w:pgMar w:top="1530" w:right="1440" w:bottom="1440" w:left="1440" w:header="360" w:footer="144"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086EBA" w16cid:durableId="1FE3222B"/>
  <w16cid:commentId w16cid:paraId="3FF968D2" w16cid:durableId="1FE322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74FBE" w14:textId="77777777" w:rsidR="001534B4" w:rsidRDefault="001534B4" w:rsidP="00314892">
      <w:pPr>
        <w:spacing w:after="0" w:line="240" w:lineRule="auto"/>
      </w:pPr>
      <w:r>
        <w:separator/>
      </w:r>
    </w:p>
  </w:endnote>
  <w:endnote w:type="continuationSeparator" w:id="0">
    <w:p w14:paraId="329CEC78" w14:textId="77777777" w:rsidR="001534B4" w:rsidRDefault="001534B4" w:rsidP="00314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405A5" w14:textId="77777777" w:rsidR="00D66D0E" w:rsidRDefault="00D66D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7F7F7F" w:themeColor="text1" w:themeTint="80"/>
        <w:spacing w:val="20"/>
        <w:sz w:val="24"/>
      </w:rPr>
      <w:id w:val="-207722403"/>
      <w:docPartObj>
        <w:docPartGallery w:val="Page Numbers (Bottom of Page)"/>
        <w:docPartUnique/>
      </w:docPartObj>
    </w:sdtPr>
    <w:sdtEndPr/>
    <w:sdtContent>
      <w:sdt>
        <w:sdtPr>
          <w:rPr>
            <w:b/>
            <w:color w:val="7F7F7F" w:themeColor="text1" w:themeTint="80"/>
            <w:spacing w:val="20"/>
            <w:sz w:val="24"/>
          </w:rPr>
          <w:id w:val="248325982"/>
          <w:docPartObj>
            <w:docPartGallery w:val="Page Numbers (Top of Page)"/>
            <w:docPartUnique/>
          </w:docPartObj>
        </w:sdtPr>
        <w:sdtEndPr/>
        <w:sdtContent>
          <w:p w14:paraId="43C126EB" w14:textId="5D58AD20" w:rsidR="00494BCF" w:rsidRPr="00247D9F" w:rsidRDefault="00494BCF" w:rsidP="00494BCF">
            <w:pPr>
              <w:pStyle w:val="Footer"/>
              <w:jc w:val="center"/>
              <w:rPr>
                <w:b/>
                <w:color w:val="7F7F7F" w:themeColor="text1" w:themeTint="80"/>
                <w:spacing w:val="20"/>
                <w:sz w:val="24"/>
              </w:rPr>
            </w:pPr>
            <w:r w:rsidRPr="00247D9F">
              <w:rPr>
                <w:b/>
                <w:color w:val="7F7F7F" w:themeColor="text1" w:themeTint="80"/>
                <w:spacing w:val="20"/>
                <w:sz w:val="24"/>
              </w:rPr>
              <w:t xml:space="preserve">Page </w:t>
            </w:r>
            <w:r w:rsidRPr="00247D9F">
              <w:rPr>
                <w:b/>
                <w:color w:val="7F7F7F" w:themeColor="text1" w:themeTint="80"/>
                <w:spacing w:val="20"/>
                <w:sz w:val="24"/>
              </w:rPr>
              <w:fldChar w:fldCharType="begin"/>
            </w:r>
            <w:r w:rsidRPr="00247D9F">
              <w:rPr>
                <w:b/>
                <w:color w:val="7F7F7F" w:themeColor="text1" w:themeTint="80"/>
                <w:spacing w:val="20"/>
                <w:sz w:val="24"/>
              </w:rPr>
              <w:instrText xml:space="preserve"> PAGE </w:instrText>
            </w:r>
            <w:r w:rsidRPr="00247D9F">
              <w:rPr>
                <w:b/>
                <w:color w:val="7F7F7F" w:themeColor="text1" w:themeTint="80"/>
                <w:spacing w:val="20"/>
                <w:sz w:val="24"/>
              </w:rPr>
              <w:fldChar w:fldCharType="separate"/>
            </w:r>
            <w:r w:rsidR="00D66D0E">
              <w:rPr>
                <w:b/>
                <w:noProof/>
                <w:color w:val="7F7F7F" w:themeColor="text1" w:themeTint="80"/>
                <w:spacing w:val="20"/>
                <w:sz w:val="24"/>
              </w:rPr>
              <w:t>11</w:t>
            </w:r>
            <w:r w:rsidRPr="00247D9F">
              <w:rPr>
                <w:b/>
                <w:color w:val="7F7F7F" w:themeColor="text1" w:themeTint="80"/>
                <w:spacing w:val="20"/>
                <w:sz w:val="24"/>
              </w:rPr>
              <w:fldChar w:fldCharType="end"/>
            </w:r>
            <w:r w:rsidRPr="00247D9F">
              <w:rPr>
                <w:b/>
                <w:color w:val="7F7F7F" w:themeColor="text1" w:themeTint="80"/>
                <w:spacing w:val="20"/>
                <w:sz w:val="24"/>
              </w:rPr>
              <w:t xml:space="preserve"> of </w:t>
            </w:r>
            <w:r w:rsidRPr="00247D9F">
              <w:rPr>
                <w:b/>
                <w:color w:val="7F7F7F" w:themeColor="text1" w:themeTint="80"/>
                <w:spacing w:val="20"/>
                <w:sz w:val="24"/>
              </w:rPr>
              <w:fldChar w:fldCharType="begin"/>
            </w:r>
            <w:r w:rsidRPr="00247D9F">
              <w:rPr>
                <w:b/>
                <w:color w:val="7F7F7F" w:themeColor="text1" w:themeTint="80"/>
                <w:spacing w:val="20"/>
                <w:sz w:val="24"/>
              </w:rPr>
              <w:instrText xml:space="preserve"> NUMPAGES  </w:instrText>
            </w:r>
            <w:r w:rsidRPr="00247D9F">
              <w:rPr>
                <w:b/>
                <w:color w:val="7F7F7F" w:themeColor="text1" w:themeTint="80"/>
                <w:spacing w:val="20"/>
                <w:sz w:val="24"/>
              </w:rPr>
              <w:fldChar w:fldCharType="separate"/>
            </w:r>
            <w:r w:rsidR="00D66D0E">
              <w:rPr>
                <w:b/>
                <w:noProof/>
                <w:color w:val="7F7F7F" w:themeColor="text1" w:themeTint="80"/>
                <w:spacing w:val="20"/>
                <w:sz w:val="24"/>
              </w:rPr>
              <w:t>11</w:t>
            </w:r>
            <w:r w:rsidRPr="00247D9F">
              <w:rPr>
                <w:b/>
                <w:color w:val="7F7F7F" w:themeColor="text1" w:themeTint="80"/>
                <w:spacing w:val="20"/>
                <w:sz w:val="24"/>
              </w:rPr>
              <w:fldChar w:fldCharType="end"/>
            </w:r>
          </w:p>
        </w:sdtContent>
      </w:sdt>
    </w:sdtContent>
  </w:sdt>
  <w:p w14:paraId="63FECDE6" w14:textId="77777777" w:rsidR="00494BCF" w:rsidRDefault="00494BCF" w:rsidP="00494BCF">
    <w:pPr>
      <w:pStyle w:val="Footer"/>
    </w:pPr>
  </w:p>
  <w:p w14:paraId="788F1A01" w14:textId="77777777" w:rsidR="00247D9F" w:rsidRDefault="00247D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7F7F7F" w:themeColor="text1" w:themeTint="80"/>
        <w:spacing w:val="20"/>
        <w:sz w:val="24"/>
      </w:rPr>
      <w:id w:val="-790977915"/>
      <w:docPartObj>
        <w:docPartGallery w:val="Page Numbers (Bottom of Page)"/>
        <w:docPartUnique/>
      </w:docPartObj>
    </w:sdtPr>
    <w:sdtEndPr/>
    <w:sdtContent>
      <w:sdt>
        <w:sdtPr>
          <w:rPr>
            <w:b/>
            <w:color w:val="7F7F7F" w:themeColor="text1" w:themeTint="80"/>
            <w:spacing w:val="20"/>
            <w:sz w:val="24"/>
          </w:rPr>
          <w:id w:val="699903578"/>
          <w:docPartObj>
            <w:docPartGallery w:val="Page Numbers (Top of Page)"/>
            <w:docPartUnique/>
          </w:docPartObj>
        </w:sdtPr>
        <w:sdtEndPr/>
        <w:sdtContent>
          <w:p w14:paraId="7B9A396A" w14:textId="6D715B58" w:rsidR="00247D9F" w:rsidRPr="00247D9F" w:rsidRDefault="00247D9F">
            <w:pPr>
              <w:pStyle w:val="Footer"/>
              <w:jc w:val="center"/>
              <w:rPr>
                <w:b/>
                <w:color w:val="7F7F7F" w:themeColor="text1" w:themeTint="80"/>
                <w:spacing w:val="20"/>
                <w:sz w:val="24"/>
              </w:rPr>
            </w:pPr>
            <w:r w:rsidRPr="00247D9F">
              <w:rPr>
                <w:b/>
                <w:color w:val="7F7F7F" w:themeColor="text1" w:themeTint="80"/>
                <w:spacing w:val="20"/>
                <w:sz w:val="24"/>
              </w:rPr>
              <w:t xml:space="preserve">Page </w:t>
            </w:r>
            <w:r w:rsidRPr="00247D9F">
              <w:rPr>
                <w:b/>
                <w:color w:val="7F7F7F" w:themeColor="text1" w:themeTint="80"/>
                <w:spacing w:val="20"/>
                <w:sz w:val="24"/>
              </w:rPr>
              <w:fldChar w:fldCharType="begin"/>
            </w:r>
            <w:r w:rsidRPr="00247D9F">
              <w:rPr>
                <w:b/>
                <w:color w:val="7F7F7F" w:themeColor="text1" w:themeTint="80"/>
                <w:spacing w:val="20"/>
                <w:sz w:val="24"/>
              </w:rPr>
              <w:instrText xml:space="preserve"> PAGE </w:instrText>
            </w:r>
            <w:r w:rsidRPr="00247D9F">
              <w:rPr>
                <w:b/>
                <w:color w:val="7F7F7F" w:themeColor="text1" w:themeTint="80"/>
                <w:spacing w:val="20"/>
                <w:sz w:val="24"/>
              </w:rPr>
              <w:fldChar w:fldCharType="separate"/>
            </w:r>
            <w:r w:rsidR="00D66D0E">
              <w:rPr>
                <w:b/>
                <w:noProof/>
                <w:color w:val="7F7F7F" w:themeColor="text1" w:themeTint="80"/>
                <w:spacing w:val="20"/>
                <w:sz w:val="24"/>
              </w:rPr>
              <w:t>1</w:t>
            </w:r>
            <w:r w:rsidRPr="00247D9F">
              <w:rPr>
                <w:b/>
                <w:color w:val="7F7F7F" w:themeColor="text1" w:themeTint="80"/>
                <w:spacing w:val="20"/>
                <w:sz w:val="24"/>
              </w:rPr>
              <w:fldChar w:fldCharType="end"/>
            </w:r>
            <w:r w:rsidRPr="00247D9F">
              <w:rPr>
                <w:b/>
                <w:color w:val="7F7F7F" w:themeColor="text1" w:themeTint="80"/>
                <w:spacing w:val="20"/>
                <w:sz w:val="24"/>
              </w:rPr>
              <w:t xml:space="preserve"> of </w:t>
            </w:r>
            <w:r w:rsidRPr="00247D9F">
              <w:rPr>
                <w:b/>
                <w:color w:val="7F7F7F" w:themeColor="text1" w:themeTint="80"/>
                <w:spacing w:val="20"/>
                <w:sz w:val="24"/>
              </w:rPr>
              <w:fldChar w:fldCharType="begin"/>
            </w:r>
            <w:r w:rsidRPr="00247D9F">
              <w:rPr>
                <w:b/>
                <w:color w:val="7F7F7F" w:themeColor="text1" w:themeTint="80"/>
                <w:spacing w:val="20"/>
                <w:sz w:val="24"/>
              </w:rPr>
              <w:instrText xml:space="preserve"> NUMPAGES  </w:instrText>
            </w:r>
            <w:r w:rsidRPr="00247D9F">
              <w:rPr>
                <w:b/>
                <w:color w:val="7F7F7F" w:themeColor="text1" w:themeTint="80"/>
                <w:spacing w:val="20"/>
                <w:sz w:val="24"/>
              </w:rPr>
              <w:fldChar w:fldCharType="separate"/>
            </w:r>
            <w:r w:rsidR="00D66D0E">
              <w:rPr>
                <w:b/>
                <w:noProof/>
                <w:color w:val="7F7F7F" w:themeColor="text1" w:themeTint="80"/>
                <w:spacing w:val="20"/>
                <w:sz w:val="24"/>
              </w:rPr>
              <w:t>11</w:t>
            </w:r>
            <w:r w:rsidRPr="00247D9F">
              <w:rPr>
                <w:b/>
                <w:color w:val="7F7F7F" w:themeColor="text1" w:themeTint="80"/>
                <w:spacing w:val="20"/>
                <w:sz w:val="24"/>
              </w:rPr>
              <w:fldChar w:fldCharType="end"/>
            </w:r>
          </w:p>
        </w:sdtContent>
      </w:sdt>
    </w:sdtContent>
  </w:sdt>
  <w:p w14:paraId="14E00097" w14:textId="77777777" w:rsidR="00247D9F" w:rsidRDefault="00247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94D55" w14:textId="77777777" w:rsidR="001534B4" w:rsidRDefault="001534B4" w:rsidP="00314892">
      <w:pPr>
        <w:spacing w:after="0" w:line="240" w:lineRule="auto"/>
      </w:pPr>
      <w:r>
        <w:separator/>
      </w:r>
    </w:p>
  </w:footnote>
  <w:footnote w:type="continuationSeparator" w:id="0">
    <w:p w14:paraId="19093B6A" w14:textId="77777777" w:rsidR="001534B4" w:rsidRDefault="001534B4" w:rsidP="00314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38D72" w14:textId="77777777" w:rsidR="00D66D0E" w:rsidRDefault="00D66D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F7708" w14:textId="6E2EF71A" w:rsidR="00247D9F" w:rsidRDefault="004D71A8" w:rsidP="00247D9F">
    <w:pPr>
      <w:spacing w:line="240" w:lineRule="auto"/>
      <w:contextualSpacing/>
      <w:jc w:val="right"/>
      <w:rPr>
        <w:b/>
        <w:color w:val="7F7F7F" w:themeColor="text1" w:themeTint="80"/>
        <w:spacing w:val="20"/>
        <w:sz w:val="24"/>
      </w:rPr>
    </w:pPr>
    <w:r>
      <w:rPr>
        <w:b/>
        <w:color w:val="7F7F7F" w:themeColor="text1" w:themeTint="80"/>
        <w:spacing w:val="20"/>
        <w:sz w:val="24"/>
      </w:rPr>
      <w:t>Edward Via College of Osteopathic Medicine</w:t>
    </w:r>
  </w:p>
  <w:p w14:paraId="1ACA9B7B" w14:textId="08F7961E" w:rsidR="004D71A8" w:rsidRPr="003F60DB" w:rsidRDefault="004D71A8" w:rsidP="00247D9F">
    <w:pPr>
      <w:spacing w:line="240" w:lineRule="auto"/>
      <w:contextualSpacing/>
      <w:jc w:val="right"/>
      <w:rPr>
        <w:b/>
        <w:color w:val="7F7F7F" w:themeColor="text1" w:themeTint="80"/>
        <w:spacing w:val="20"/>
        <w:sz w:val="24"/>
      </w:rPr>
    </w:pPr>
    <w:r>
      <w:rPr>
        <w:b/>
        <w:color w:val="7F7F7F" w:themeColor="text1" w:themeTint="80"/>
        <w:spacing w:val="20"/>
        <w:sz w:val="24"/>
      </w:rPr>
      <w:t>Research Division/IRB</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6BCF3" w14:textId="5CBEB632" w:rsidR="00247D9F" w:rsidRDefault="00247D9F" w:rsidP="00247D9F">
    <w:pPr>
      <w:spacing w:line="240" w:lineRule="auto"/>
      <w:contextualSpacing/>
      <w:jc w:val="right"/>
    </w:pPr>
    <w:r>
      <w:rPr>
        <w:noProof/>
      </w:rPr>
      <mc:AlternateContent>
        <mc:Choice Requires="wps">
          <w:drawing>
            <wp:anchor distT="0" distB="0" distL="114300" distR="114300" simplePos="0" relativeHeight="251663360" behindDoc="0" locked="0" layoutInCell="1" allowOverlap="1" wp14:anchorId="4368BB89" wp14:editId="1B6072B5">
              <wp:simplePos x="0" y="0"/>
              <wp:positionH relativeFrom="page">
                <wp:posOffset>142874</wp:posOffset>
              </wp:positionH>
              <wp:positionV relativeFrom="paragraph">
                <wp:posOffset>-304801</wp:posOffset>
              </wp:positionV>
              <wp:extent cx="7477125" cy="714375"/>
              <wp:effectExtent l="38100" t="0" r="28575" b="47625"/>
              <wp:wrapNone/>
              <wp:docPr id="58" name="Right Triangle 58"/>
              <wp:cNvGraphicFramePr/>
              <a:graphic xmlns:a="http://schemas.openxmlformats.org/drawingml/2006/main">
                <a:graphicData uri="http://schemas.microsoft.com/office/word/2010/wordprocessingShape">
                  <wps:wsp>
                    <wps:cNvSpPr/>
                    <wps:spPr>
                      <a:xfrm flipH="1" flipV="1">
                        <a:off x="0" y="0"/>
                        <a:ext cx="7477125" cy="714375"/>
                      </a:xfrm>
                      <a:prstGeom prst="rtTriangle">
                        <a:avLst/>
                      </a:prstGeom>
                      <a:solidFill>
                        <a:srgbClr val="861F41"/>
                      </a:solidFill>
                      <a:ln>
                        <a:solidFill>
                          <a:srgbClr val="861F4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05A941" w14:textId="77777777" w:rsidR="00247D9F" w:rsidRDefault="00247D9F" w:rsidP="00247D9F">
                          <w:pPr>
                            <w:jc w:val="center"/>
                          </w:pPr>
                          <w:proofErr w:type="gramStart"/>
                          <w:r>
                            <w:t>a</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68BB89" id="_x0000_t6" coordsize="21600,21600" o:spt="6" path="m,l,21600r21600,xe">
              <v:stroke joinstyle="miter"/>
              <v:path gradientshapeok="t" o:connecttype="custom" o:connectlocs="0,0;0,10800;0,21600;10800,21600;21600,21600;10800,10800" textboxrect="1800,12600,12600,19800"/>
            </v:shapetype>
            <v:shape id="Right Triangle 58" o:spid="_x0000_s1026" type="#_x0000_t6" style="position:absolute;left:0;text-align:left;margin-left:11.25pt;margin-top:-24pt;width:588.75pt;height:56.25pt;flip:x 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" fillcolor="#861f41" strokecolor="#861f41" strokeweight="1pt">
              <v:textbox>
                <w:txbxContent>
                  <w:p w14:paraId="4905A941" w14:textId="77777777" w:rsidR="00247D9F" w:rsidRDefault="00247D9F" w:rsidP="00247D9F">
                    <w:pPr>
                      <w:jc w:val="center"/>
                    </w:pPr>
                    <w:r>
                      <w:t>a</w:t>
                    </w:r>
                  </w:p>
                </w:txbxContent>
              </v:textbox>
              <w10:wrap anchorx="page"/>
            </v:shape>
          </w:pict>
        </mc:Fallback>
      </mc:AlternateContent>
    </w:r>
  </w:p>
  <w:p w14:paraId="0852FC8F" w14:textId="3CC95BA3" w:rsidR="004D71A8" w:rsidRDefault="004D71A8" w:rsidP="004D71A8">
    <w:pPr>
      <w:spacing w:line="240" w:lineRule="auto"/>
      <w:contextualSpacing/>
      <w:jc w:val="center"/>
      <w:rPr>
        <w:b/>
        <w:color w:val="7F7F7F" w:themeColor="text1" w:themeTint="80"/>
        <w:spacing w:val="20"/>
        <w:sz w:val="24"/>
      </w:rPr>
    </w:pPr>
    <w:r>
      <w:rPr>
        <w:b/>
        <w:color w:val="7F7F7F" w:themeColor="text1" w:themeTint="80"/>
        <w:spacing w:val="20"/>
        <w:sz w:val="24"/>
      </w:rPr>
      <w:t>Edward Via College of Osteopathic Medicine</w:t>
    </w:r>
  </w:p>
  <w:p w14:paraId="53F4D013" w14:textId="1874B9CF" w:rsidR="00247D9F" w:rsidRDefault="004D71A8" w:rsidP="004D71A8">
    <w:pPr>
      <w:spacing w:line="240" w:lineRule="auto"/>
      <w:contextualSpacing/>
      <w:jc w:val="center"/>
      <w:rPr>
        <w:b/>
        <w:color w:val="7F7F7F" w:themeColor="text1" w:themeTint="80"/>
        <w:spacing w:val="20"/>
        <w:sz w:val="24"/>
      </w:rPr>
    </w:pPr>
    <w:r>
      <w:rPr>
        <w:b/>
        <w:color w:val="7F7F7F" w:themeColor="text1" w:themeTint="80"/>
        <w:spacing w:val="20"/>
        <w:sz w:val="24"/>
      </w:rPr>
      <w:t>Research Division/IRB</w:t>
    </w:r>
  </w:p>
  <w:p w14:paraId="2891F482" w14:textId="5108FADD" w:rsidR="004D71A8" w:rsidRPr="004D71A8" w:rsidRDefault="004D71A8" w:rsidP="004D71A8">
    <w:pPr>
      <w:spacing w:line="240" w:lineRule="auto"/>
      <w:contextualSpacing/>
      <w:rPr>
        <w:b/>
        <w:color w:val="7F7F7F" w:themeColor="text1" w:themeTint="80"/>
        <w:spacing w:val="20"/>
        <w:sz w:val="24"/>
      </w:rPr>
    </w:pPr>
    <w:r w:rsidRPr="004D71A8">
      <w:rPr>
        <w:b/>
        <w:noProof/>
        <w:color w:val="7F7F7F" w:themeColor="text1" w:themeTint="80"/>
        <w:spacing w:val="20"/>
        <w:sz w:val="24"/>
      </w:rPr>
      <mc:AlternateContent>
        <mc:Choice Requires="wps">
          <w:drawing>
            <wp:anchor distT="45720" distB="45720" distL="114300" distR="114300" simplePos="0" relativeHeight="251665408" behindDoc="0" locked="0" layoutInCell="1" allowOverlap="1" wp14:anchorId="321AC05E" wp14:editId="3C3256D3">
              <wp:simplePos x="0" y="0"/>
              <wp:positionH relativeFrom="column">
                <wp:posOffset>1781175</wp:posOffset>
              </wp:positionH>
              <wp:positionV relativeFrom="paragraph">
                <wp:posOffset>476885</wp:posOffset>
              </wp:positionV>
              <wp:extent cx="3743325" cy="9810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981075"/>
                      </a:xfrm>
                      <a:prstGeom prst="rect">
                        <a:avLst/>
                      </a:prstGeom>
                      <a:noFill/>
                      <a:ln w="9525">
                        <a:noFill/>
                        <a:miter lim="800000"/>
                        <a:headEnd/>
                        <a:tailEnd/>
                      </a:ln>
                    </wps:spPr>
                    <wps:txbx>
                      <w:txbxContent>
                        <w:p w14:paraId="03247E95" w14:textId="0F5516FE" w:rsidR="004D71A8" w:rsidRDefault="005304FF" w:rsidP="004D71A8">
                          <w:pPr>
                            <w:jc w:val="center"/>
                            <w:rPr>
                              <w:b/>
                              <w:sz w:val="28"/>
                              <w:szCs w:val="28"/>
                            </w:rPr>
                          </w:pPr>
                          <w:r>
                            <w:rPr>
                              <w:b/>
                              <w:sz w:val="28"/>
                              <w:szCs w:val="28"/>
                            </w:rPr>
                            <w:t>Guide to Informed Consent Changes</w:t>
                          </w:r>
                        </w:p>
                        <w:p w14:paraId="01D1F1BB" w14:textId="295C8C20" w:rsidR="004D71A8" w:rsidRPr="004D71A8" w:rsidRDefault="004D71A8" w:rsidP="004D71A8">
                          <w:pPr>
                            <w:jc w:val="center"/>
                            <w:rPr>
                              <w:b/>
                              <w:sz w:val="28"/>
                              <w:szCs w:val="28"/>
                            </w:rPr>
                          </w:pPr>
                          <w:r>
                            <w:rPr>
                              <w:b/>
                              <w:sz w:val="28"/>
                              <w:szCs w:val="28"/>
                            </w:rPr>
                            <w:t>(Effective January 21,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1AC05E" id="_x0000_t202" coordsize="21600,21600" o:spt="202" path="m,l,21600r21600,l21600,xe">
              <v:stroke joinstyle="miter"/>
              <v:path gradientshapeok="t" o:connecttype="rect"/>
            </v:shapetype>
            <v:shape id="Text Box 2" o:spid="_x0000_s1027" type="#_x0000_t202" style="position:absolute;margin-left:140.25pt;margin-top:37.55pt;width:294.75pt;height:77.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" filled="f" stroked="f">
              <v:textbox>
                <w:txbxContent>
                  <w:p w14:paraId="03247E95" w14:textId="0F5516FE" w:rsidR="004D71A8" w:rsidRDefault="005304FF" w:rsidP="004D71A8">
                    <w:pPr>
                      <w:jc w:val="center"/>
                      <w:rPr>
                        <w:b/>
                        <w:sz w:val="28"/>
                        <w:szCs w:val="28"/>
                      </w:rPr>
                    </w:pPr>
                    <w:r>
                      <w:rPr>
                        <w:b/>
                        <w:sz w:val="28"/>
                        <w:szCs w:val="28"/>
                      </w:rPr>
                      <w:t>Guide to Informed Consent Changes</w:t>
                    </w:r>
                  </w:p>
                  <w:p w14:paraId="01D1F1BB" w14:textId="295C8C20" w:rsidR="004D71A8" w:rsidRPr="004D71A8" w:rsidRDefault="004D71A8" w:rsidP="004D71A8">
                    <w:pPr>
                      <w:jc w:val="center"/>
                      <w:rPr>
                        <w:b/>
                        <w:sz w:val="28"/>
                        <w:szCs w:val="28"/>
                      </w:rPr>
                    </w:pPr>
                    <w:r>
                      <w:rPr>
                        <w:b/>
                        <w:sz w:val="28"/>
                        <w:szCs w:val="28"/>
                      </w:rPr>
                      <w:t>(Effective January 21, 2019)</w:t>
                    </w:r>
                  </w:p>
                </w:txbxContent>
              </v:textbox>
              <w10:wrap type="square"/>
            </v:shape>
          </w:pict>
        </mc:Fallback>
      </mc:AlternateContent>
    </w:r>
    <w:r w:rsidRPr="001B4799">
      <w:rPr>
        <w:rFonts w:ascii="Times New Roman" w:hAnsi="Times New Roman" w:cs="Times New Roman"/>
        <w:noProof/>
      </w:rPr>
      <w:drawing>
        <wp:inline distT="0" distB="0" distL="0" distR="0" wp14:anchorId="170A12FB" wp14:editId="422FF12A">
          <wp:extent cx="1121441" cy="199072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1441" cy="1990725"/>
                  </a:xfrm>
                  <a:prstGeom prst="rect">
                    <a:avLst/>
                  </a:prstGeom>
                  <a:noFill/>
                  <a:ln>
                    <a:noFill/>
                  </a:ln>
                </pic:spPr>
              </pic:pic>
            </a:graphicData>
          </a:graphic>
        </wp:inline>
      </w:drawing>
    </w:r>
    <w:r>
      <w:rPr>
        <w:b/>
        <w:color w:val="7F7F7F" w:themeColor="text1" w:themeTint="80"/>
        <w:spacing w:val="20"/>
        <w:sz w:val="24"/>
      </w:rPr>
      <w:tab/>
    </w:r>
    <w:bookmarkStart w:id="0" w:name="_GoBack"/>
    <w:bookmarkEnd w:id="0"/>
  </w:p>
  <w:p w14:paraId="5DA753E2" w14:textId="77777777" w:rsidR="00247D9F" w:rsidRDefault="00247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561F"/>
    <w:multiLevelType w:val="hybridMultilevel"/>
    <w:tmpl w:val="9F8A108A"/>
    <w:lvl w:ilvl="0" w:tplc="61042D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D409A"/>
    <w:multiLevelType w:val="hybridMultilevel"/>
    <w:tmpl w:val="12B4E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71169C"/>
    <w:multiLevelType w:val="hybridMultilevel"/>
    <w:tmpl w:val="0E40E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4551F"/>
    <w:multiLevelType w:val="hybridMultilevel"/>
    <w:tmpl w:val="B042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30B6D"/>
    <w:multiLevelType w:val="hybridMultilevel"/>
    <w:tmpl w:val="4E7A1A3C"/>
    <w:lvl w:ilvl="0" w:tplc="984ACF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D1704"/>
    <w:multiLevelType w:val="hybridMultilevel"/>
    <w:tmpl w:val="3062A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9375C"/>
    <w:multiLevelType w:val="hybridMultilevel"/>
    <w:tmpl w:val="0756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52A27"/>
    <w:multiLevelType w:val="hybridMultilevel"/>
    <w:tmpl w:val="C5D618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415C7"/>
    <w:multiLevelType w:val="hybridMultilevel"/>
    <w:tmpl w:val="3CE0A7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F26C32"/>
    <w:multiLevelType w:val="hybridMultilevel"/>
    <w:tmpl w:val="1760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E7B57"/>
    <w:multiLevelType w:val="hybridMultilevel"/>
    <w:tmpl w:val="5FF25DC8"/>
    <w:lvl w:ilvl="0" w:tplc="D6D0A9C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6C54A5"/>
    <w:multiLevelType w:val="hybridMultilevel"/>
    <w:tmpl w:val="2AE887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F7043"/>
    <w:multiLevelType w:val="hybridMultilevel"/>
    <w:tmpl w:val="FAB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5409D0"/>
    <w:multiLevelType w:val="hybridMultilevel"/>
    <w:tmpl w:val="35C88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671D5D"/>
    <w:multiLevelType w:val="hybridMultilevel"/>
    <w:tmpl w:val="0AACAC90"/>
    <w:lvl w:ilvl="0" w:tplc="D6D0A9C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B177CD"/>
    <w:multiLevelType w:val="hybridMultilevel"/>
    <w:tmpl w:val="6E5E9D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E4C26"/>
    <w:multiLevelType w:val="hybridMultilevel"/>
    <w:tmpl w:val="4064A3FA"/>
    <w:lvl w:ilvl="0" w:tplc="D6D0A9C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5E7A7F"/>
    <w:multiLevelType w:val="hybridMultilevel"/>
    <w:tmpl w:val="1ADAA01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6E65A85"/>
    <w:multiLevelType w:val="hybridMultilevel"/>
    <w:tmpl w:val="79982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3B5008"/>
    <w:multiLevelType w:val="hybridMultilevel"/>
    <w:tmpl w:val="7398EFF8"/>
    <w:lvl w:ilvl="0" w:tplc="842E67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C60FF4"/>
    <w:multiLevelType w:val="hybridMultilevel"/>
    <w:tmpl w:val="676E8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6A3B48"/>
    <w:multiLevelType w:val="hybridMultilevel"/>
    <w:tmpl w:val="EBD02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D412C5"/>
    <w:multiLevelType w:val="hybridMultilevel"/>
    <w:tmpl w:val="7B8C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525E2E"/>
    <w:multiLevelType w:val="hybridMultilevel"/>
    <w:tmpl w:val="86B44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3365C3"/>
    <w:multiLevelType w:val="hybridMultilevel"/>
    <w:tmpl w:val="5CC46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D65DE7"/>
    <w:multiLevelType w:val="hybridMultilevel"/>
    <w:tmpl w:val="5E5A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0612E0"/>
    <w:multiLevelType w:val="hybridMultilevel"/>
    <w:tmpl w:val="8F6E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FB79B5"/>
    <w:multiLevelType w:val="hybridMultilevel"/>
    <w:tmpl w:val="C84EF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B2386B"/>
    <w:multiLevelType w:val="hybridMultilevel"/>
    <w:tmpl w:val="5790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9D0D29"/>
    <w:multiLevelType w:val="hybridMultilevel"/>
    <w:tmpl w:val="09F43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FA6333"/>
    <w:multiLevelType w:val="hybridMultilevel"/>
    <w:tmpl w:val="481474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43169C"/>
    <w:multiLevelType w:val="hybridMultilevel"/>
    <w:tmpl w:val="2DDCC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BD4A9E"/>
    <w:multiLevelType w:val="hybridMultilevel"/>
    <w:tmpl w:val="AE9AB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84A02"/>
    <w:multiLevelType w:val="hybridMultilevel"/>
    <w:tmpl w:val="1BAE379E"/>
    <w:lvl w:ilvl="0" w:tplc="D6D0A9C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4206D69"/>
    <w:multiLevelType w:val="hybridMultilevel"/>
    <w:tmpl w:val="5DB42D8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5" w15:restartNumberingAfterBreak="0">
    <w:nsid w:val="65C62FF8"/>
    <w:multiLevelType w:val="hybridMultilevel"/>
    <w:tmpl w:val="BFDE195E"/>
    <w:lvl w:ilvl="0" w:tplc="9A9CD5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296A5B"/>
    <w:multiLevelType w:val="hybridMultilevel"/>
    <w:tmpl w:val="F6AEF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2106C7"/>
    <w:multiLevelType w:val="hybridMultilevel"/>
    <w:tmpl w:val="01E051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1"/>
  </w:num>
  <w:num w:numId="4">
    <w:abstractNumId w:val="33"/>
  </w:num>
  <w:num w:numId="5">
    <w:abstractNumId w:val="18"/>
  </w:num>
  <w:num w:numId="6">
    <w:abstractNumId w:val="16"/>
  </w:num>
  <w:num w:numId="7">
    <w:abstractNumId w:val="14"/>
  </w:num>
  <w:num w:numId="8">
    <w:abstractNumId w:val="15"/>
  </w:num>
  <w:num w:numId="9">
    <w:abstractNumId w:val="10"/>
  </w:num>
  <w:num w:numId="10">
    <w:abstractNumId w:val="27"/>
  </w:num>
  <w:num w:numId="11">
    <w:abstractNumId w:val="25"/>
  </w:num>
  <w:num w:numId="12">
    <w:abstractNumId w:val="21"/>
  </w:num>
  <w:num w:numId="13">
    <w:abstractNumId w:val="24"/>
  </w:num>
  <w:num w:numId="14">
    <w:abstractNumId w:val="13"/>
  </w:num>
  <w:num w:numId="15">
    <w:abstractNumId w:val="1"/>
  </w:num>
  <w:num w:numId="16">
    <w:abstractNumId w:val="20"/>
  </w:num>
  <w:num w:numId="17">
    <w:abstractNumId w:val="8"/>
  </w:num>
  <w:num w:numId="18">
    <w:abstractNumId w:val="36"/>
  </w:num>
  <w:num w:numId="19">
    <w:abstractNumId w:val="26"/>
  </w:num>
  <w:num w:numId="20">
    <w:abstractNumId w:val="35"/>
  </w:num>
  <w:num w:numId="21">
    <w:abstractNumId w:val="4"/>
  </w:num>
  <w:num w:numId="22">
    <w:abstractNumId w:val="37"/>
  </w:num>
  <w:num w:numId="23">
    <w:abstractNumId w:val="19"/>
  </w:num>
  <w:num w:numId="24">
    <w:abstractNumId w:val="0"/>
  </w:num>
  <w:num w:numId="25">
    <w:abstractNumId w:val="30"/>
  </w:num>
  <w:num w:numId="26">
    <w:abstractNumId w:val="32"/>
  </w:num>
  <w:num w:numId="27">
    <w:abstractNumId w:val="29"/>
  </w:num>
  <w:num w:numId="28">
    <w:abstractNumId w:val="9"/>
  </w:num>
  <w:num w:numId="29">
    <w:abstractNumId w:val="6"/>
  </w:num>
  <w:num w:numId="30">
    <w:abstractNumId w:val="23"/>
  </w:num>
  <w:num w:numId="31">
    <w:abstractNumId w:val="5"/>
  </w:num>
  <w:num w:numId="32">
    <w:abstractNumId w:val="34"/>
  </w:num>
  <w:num w:numId="33">
    <w:abstractNumId w:val="22"/>
  </w:num>
  <w:num w:numId="34">
    <w:abstractNumId w:val="3"/>
  </w:num>
  <w:num w:numId="35">
    <w:abstractNumId w:val="12"/>
  </w:num>
  <w:num w:numId="36">
    <w:abstractNumId w:val="28"/>
  </w:num>
  <w:num w:numId="37">
    <w:abstractNumId w:val="2"/>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FAC"/>
    <w:rsid w:val="00024496"/>
    <w:rsid w:val="000644EE"/>
    <w:rsid w:val="00090FE7"/>
    <w:rsid w:val="000920FD"/>
    <w:rsid w:val="000949C4"/>
    <w:rsid w:val="000E5B6D"/>
    <w:rsid w:val="000F52E2"/>
    <w:rsid w:val="001534B4"/>
    <w:rsid w:val="001708A1"/>
    <w:rsid w:val="00183E00"/>
    <w:rsid w:val="001C7DCB"/>
    <w:rsid w:val="001F0100"/>
    <w:rsid w:val="00247D9F"/>
    <w:rsid w:val="0030120E"/>
    <w:rsid w:val="00314892"/>
    <w:rsid w:val="0032023E"/>
    <w:rsid w:val="00322EB0"/>
    <w:rsid w:val="00341A02"/>
    <w:rsid w:val="003949E1"/>
    <w:rsid w:val="003F66D3"/>
    <w:rsid w:val="003F7193"/>
    <w:rsid w:val="00407A45"/>
    <w:rsid w:val="00422FFE"/>
    <w:rsid w:val="00427066"/>
    <w:rsid w:val="00431E00"/>
    <w:rsid w:val="00433067"/>
    <w:rsid w:val="00465938"/>
    <w:rsid w:val="00494BCF"/>
    <w:rsid w:val="004B08F8"/>
    <w:rsid w:val="004D0B94"/>
    <w:rsid w:val="004D71A8"/>
    <w:rsid w:val="004E0312"/>
    <w:rsid w:val="005304FF"/>
    <w:rsid w:val="00553CB3"/>
    <w:rsid w:val="00596EB7"/>
    <w:rsid w:val="00597CA2"/>
    <w:rsid w:val="00601459"/>
    <w:rsid w:val="00675BC8"/>
    <w:rsid w:val="006A6A8D"/>
    <w:rsid w:val="00723E5F"/>
    <w:rsid w:val="007342E7"/>
    <w:rsid w:val="00781802"/>
    <w:rsid w:val="0078599D"/>
    <w:rsid w:val="00797D22"/>
    <w:rsid w:val="007C0A9D"/>
    <w:rsid w:val="007D462D"/>
    <w:rsid w:val="007F7FD9"/>
    <w:rsid w:val="00807D03"/>
    <w:rsid w:val="00812DE1"/>
    <w:rsid w:val="00875640"/>
    <w:rsid w:val="00893476"/>
    <w:rsid w:val="008B3125"/>
    <w:rsid w:val="008C41F0"/>
    <w:rsid w:val="00930FAC"/>
    <w:rsid w:val="009815F8"/>
    <w:rsid w:val="009D5545"/>
    <w:rsid w:val="00A52281"/>
    <w:rsid w:val="00A927FE"/>
    <w:rsid w:val="00AB209B"/>
    <w:rsid w:val="00B03DBE"/>
    <w:rsid w:val="00B27280"/>
    <w:rsid w:val="00B31E6A"/>
    <w:rsid w:val="00B93D54"/>
    <w:rsid w:val="00C11395"/>
    <w:rsid w:val="00C2208A"/>
    <w:rsid w:val="00C57D46"/>
    <w:rsid w:val="00C97DE2"/>
    <w:rsid w:val="00D17EEF"/>
    <w:rsid w:val="00D21919"/>
    <w:rsid w:val="00D66580"/>
    <w:rsid w:val="00D66D0E"/>
    <w:rsid w:val="00D83BA6"/>
    <w:rsid w:val="00DD13F5"/>
    <w:rsid w:val="00DE7939"/>
    <w:rsid w:val="00E15D1C"/>
    <w:rsid w:val="00E50749"/>
    <w:rsid w:val="00E90B26"/>
    <w:rsid w:val="00EB34F9"/>
    <w:rsid w:val="00EF5FF7"/>
    <w:rsid w:val="00F406E5"/>
    <w:rsid w:val="00F54749"/>
    <w:rsid w:val="00FB6212"/>
    <w:rsid w:val="00FD1E68"/>
    <w:rsid w:val="00FE2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97BAB"/>
  <w15:chartTrackingRefBased/>
  <w15:docId w15:val="{01BF4804-2D7E-4C3C-BF70-8AAE7330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0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5640"/>
    <w:pPr>
      <w:ind w:left="720"/>
      <w:contextualSpacing/>
    </w:pPr>
  </w:style>
  <w:style w:type="paragraph" w:styleId="Header">
    <w:name w:val="header"/>
    <w:basedOn w:val="Normal"/>
    <w:link w:val="HeaderChar"/>
    <w:unhideWhenUsed/>
    <w:rsid w:val="00314892"/>
    <w:pPr>
      <w:tabs>
        <w:tab w:val="center" w:pos="4680"/>
        <w:tab w:val="right" w:pos="9360"/>
      </w:tabs>
      <w:spacing w:after="0" w:line="240" w:lineRule="auto"/>
    </w:pPr>
  </w:style>
  <w:style w:type="character" w:customStyle="1" w:styleId="HeaderChar">
    <w:name w:val="Header Char"/>
    <w:basedOn w:val="DefaultParagraphFont"/>
    <w:link w:val="Header"/>
    <w:rsid w:val="00314892"/>
  </w:style>
  <w:style w:type="paragraph" w:styleId="Footer">
    <w:name w:val="footer"/>
    <w:basedOn w:val="Normal"/>
    <w:link w:val="FooterChar"/>
    <w:uiPriority w:val="99"/>
    <w:unhideWhenUsed/>
    <w:rsid w:val="00314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892"/>
  </w:style>
  <w:style w:type="paragraph" w:customStyle="1" w:styleId="Default">
    <w:name w:val="Default"/>
    <w:rsid w:val="00812DE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07A45"/>
    <w:rPr>
      <w:sz w:val="16"/>
      <w:szCs w:val="16"/>
    </w:rPr>
  </w:style>
  <w:style w:type="paragraph" w:styleId="CommentText">
    <w:name w:val="annotation text"/>
    <w:basedOn w:val="Normal"/>
    <w:link w:val="CommentTextChar"/>
    <w:uiPriority w:val="99"/>
    <w:semiHidden/>
    <w:unhideWhenUsed/>
    <w:rsid w:val="00407A45"/>
    <w:pPr>
      <w:spacing w:line="240" w:lineRule="auto"/>
    </w:pPr>
    <w:rPr>
      <w:sz w:val="20"/>
      <w:szCs w:val="20"/>
    </w:rPr>
  </w:style>
  <w:style w:type="character" w:customStyle="1" w:styleId="CommentTextChar">
    <w:name w:val="Comment Text Char"/>
    <w:basedOn w:val="DefaultParagraphFont"/>
    <w:link w:val="CommentText"/>
    <w:uiPriority w:val="99"/>
    <w:semiHidden/>
    <w:rsid w:val="00407A45"/>
    <w:rPr>
      <w:sz w:val="20"/>
      <w:szCs w:val="20"/>
    </w:rPr>
  </w:style>
  <w:style w:type="paragraph" w:styleId="CommentSubject">
    <w:name w:val="annotation subject"/>
    <w:basedOn w:val="CommentText"/>
    <w:next w:val="CommentText"/>
    <w:link w:val="CommentSubjectChar"/>
    <w:uiPriority w:val="99"/>
    <w:semiHidden/>
    <w:unhideWhenUsed/>
    <w:rsid w:val="00407A45"/>
    <w:rPr>
      <w:b/>
      <w:bCs/>
    </w:rPr>
  </w:style>
  <w:style w:type="character" w:customStyle="1" w:styleId="CommentSubjectChar">
    <w:name w:val="Comment Subject Char"/>
    <w:basedOn w:val="CommentTextChar"/>
    <w:link w:val="CommentSubject"/>
    <w:uiPriority w:val="99"/>
    <w:semiHidden/>
    <w:rsid w:val="00407A45"/>
    <w:rPr>
      <w:b/>
      <w:bCs/>
      <w:sz w:val="20"/>
      <w:szCs w:val="20"/>
    </w:rPr>
  </w:style>
  <w:style w:type="paragraph" w:styleId="BalloonText">
    <w:name w:val="Balloon Text"/>
    <w:basedOn w:val="Normal"/>
    <w:link w:val="BalloonTextChar"/>
    <w:uiPriority w:val="99"/>
    <w:semiHidden/>
    <w:unhideWhenUsed/>
    <w:rsid w:val="00407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A45"/>
    <w:rPr>
      <w:rFonts w:ascii="Segoe UI" w:hAnsi="Segoe UI" w:cs="Segoe UI"/>
      <w:sz w:val="18"/>
      <w:szCs w:val="18"/>
    </w:rPr>
  </w:style>
  <w:style w:type="character" w:styleId="Hyperlink">
    <w:name w:val="Hyperlink"/>
    <w:basedOn w:val="DefaultParagraphFont"/>
    <w:uiPriority w:val="99"/>
    <w:semiHidden/>
    <w:unhideWhenUsed/>
    <w:rsid w:val="00F406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out.citiprogram.org/en/final-rule-resources/" TargetMode="Externa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55837-9661-466E-B543-9F9B02078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2030</Words>
  <Characters>11576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Potter</dc:creator>
  <cp:keywords/>
  <dc:description/>
  <cp:lastModifiedBy>Geiger, Debbie</cp:lastModifiedBy>
  <cp:revision>3</cp:revision>
  <dcterms:created xsi:type="dcterms:W3CDTF">2019-10-03T18:31:00Z</dcterms:created>
  <dcterms:modified xsi:type="dcterms:W3CDTF">2019-10-03T18:32:00Z</dcterms:modified>
</cp:coreProperties>
</file>